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firstLine="709"/>
        <w:jc w:val="center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firstLine="709"/>
        <w:jc w:val="center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«ФИНАНСОВЫЙ УНИВЕРСИТЕТ ПРИ ПРАВИТЕЛЬСТВЕ РОССИЙСКОЙ ФЕДЕРАЦИИ»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firstLine="709"/>
        <w:jc w:val="center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(Финансовый университет)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firstLine="709"/>
        <w:jc w:val="center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Новороссийский филиал 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firstLine="709"/>
        <w:jc w:val="right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Кафедра «Информатика, математика и общегуманитарные науки»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firstLine="709"/>
        <w:jc w:val="right"/>
        <w:rPr>
          <w:b/>
          <w:b/>
          <w:bCs/>
          <w:color w:val="auto"/>
          <w:sz w:val="24"/>
          <w:szCs w:val="24"/>
        </w:rPr>
      </w:pPr>
      <w:r>
        <w:rPr/>
      </w:r>
      <w:bookmarkStart w:id="0" w:name="_GoBack"/>
      <w:bookmarkStart w:id="1" w:name="_GoBack"/>
      <w:bookmarkEnd w:id="1"/>
    </w:p>
    <w:p>
      <w:pPr>
        <w:pStyle w:val="Default"/>
        <w:rPr/>
      </w:pPr>
      <w:r>
        <w:rPr>
          <w:b/>
          <w:color w:val="auto"/>
        </w:rPr>
        <w:t xml:space="preserve">  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firstLine="709"/>
        <w:jc w:val="center"/>
        <w:rPr>
          <w:b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 w:before="0" w:after="0"/>
        <w:ind w:left="0" w:hanging="0"/>
        <w:jc w:val="center"/>
        <w:rPr>
          <w:b/>
          <w:b/>
          <w:color w:val="auto"/>
          <w:sz w:val="36"/>
          <w:szCs w:val="36"/>
        </w:rPr>
      </w:pPr>
      <w:r>
        <w:rPr>
          <w:b/>
          <w:color w:val="auto"/>
          <w:sz w:val="36"/>
          <w:szCs w:val="36"/>
        </w:rPr>
        <w:t>Оценка эффективности рекламных кампаний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hanging="0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hanging="0"/>
        <w:jc w:val="center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Рабочая программа дисциплины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hanging="0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для студентов, обучающихся по направлению подготовки 42.03.01 Реклама и связи с общественностью, профиль «Интегрированные коммуникации» (очное обучение)</w:t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0" w:hanging="0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hanging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hanging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hanging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hanging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360" w:before="0" w:after="0"/>
        <w:ind w:left="0" w:hanging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hanging="0"/>
        <w:jc w:val="center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Новороссийск 202</w:t>
      </w:r>
      <w:r>
        <w:rPr>
          <w:b/>
          <w:bCs/>
          <w:color w:val="auto"/>
          <w:sz w:val="24"/>
          <w:szCs w:val="24"/>
        </w:rPr>
        <w:t>4</w:t>
      </w:r>
    </w:p>
    <w:p>
      <w:pPr>
        <w:pStyle w:val="Normal"/>
        <w:spacing w:lineRule="auto" w:line="259" w:before="0" w:after="160"/>
        <w:ind w:left="0" w:hanging="0"/>
        <w:jc w:val="left"/>
        <w:rPr>
          <w:rFonts w:eastAsia="Tahoma"/>
          <w:b/>
          <w:b/>
          <w:sz w:val="24"/>
          <w:szCs w:val="24"/>
          <w:lang w:bidi="ru-RU"/>
        </w:rPr>
      </w:pPr>
      <w:r>
        <w:rPr>
          <w:rFonts w:eastAsia="Tahoma"/>
          <w:b/>
          <w:sz w:val="24"/>
          <w:szCs w:val="24"/>
          <w:lang w:bidi="ru-RU"/>
        </w:rPr>
      </w:r>
      <w:r>
        <w:br w:type="page"/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hanging="0"/>
        <w:rPr>
          <w:color w:val="FF0000"/>
          <w:sz w:val="24"/>
          <w:szCs w:val="24"/>
        </w:rPr>
      </w:pPr>
      <w:r>
        <w:rPr>
          <w:rFonts w:eastAsia="Tahoma"/>
          <w:b/>
          <w:sz w:val="24"/>
          <w:szCs w:val="24"/>
          <w:lang w:bidi="ru-RU"/>
        </w:rPr>
        <w:t xml:space="preserve">Составитель: Данилова Л.Г., </w:t>
      </w:r>
      <w:r>
        <w:rPr>
          <w:rFonts w:eastAsia="Tahoma"/>
          <w:sz w:val="24"/>
          <w:szCs w:val="24"/>
          <w:lang w:bidi="ru-RU"/>
        </w:rPr>
        <w:t>к.э.н., доцент кафедры экономики, финансов и</w:t>
      </w:r>
      <w:r>
        <w:rPr>
          <w:rFonts w:eastAsia="Tahoma" w:cs="Tahoma" w:ascii="Tahoma" w:hAnsi="Tahoma"/>
          <w:sz w:val="24"/>
          <w:szCs w:val="24"/>
          <w:lang w:bidi="ru-RU"/>
        </w:rPr>
        <w:t xml:space="preserve"> менеджмента. </w:t>
      </w:r>
      <w:r>
        <w:rPr>
          <w:rFonts w:eastAsia="Tahoma"/>
          <w:sz w:val="24"/>
          <w:szCs w:val="24"/>
          <w:lang w:bidi="ru-RU"/>
        </w:rPr>
        <w:t>Рабочая программа дисциплины</w:t>
      </w:r>
      <w:r>
        <w:rPr>
          <w:b/>
          <w:bCs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«Оценка эффективности рекламных кампаний»  для студентов, обучающихся по направлению 42.03.01 Реклама и связи с общественностью, профиль «Интегрированные коммуникации», очное обучение (программа подготовки бакалавров). - Новороссийск: Финансовый университет, кафедра «Экономика, финансы и менеджмент», 202</w:t>
      </w:r>
      <w:r>
        <w:rPr>
          <w:color w:val="auto"/>
          <w:sz w:val="24"/>
          <w:szCs w:val="24"/>
        </w:rPr>
        <w:t>4</w:t>
      </w:r>
      <w:r>
        <w:rPr>
          <w:color w:val="auto"/>
          <w:sz w:val="24"/>
          <w:szCs w:val="24"/>
        </w:rPr>
        <w:t>. - 23 с.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Программа дисциплины «Оценка эффективности рекламных кампаний» отражает</w:t>
      </w:r>
      <w:r>
        <w:rPr>
          <w:color w:val="FF0000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формирование у обучающихся в системных научных фундаментальных знаний в области теории и практики определения эффективности в проведении рекламных кампаний; приобретение навыков решения практических вопросов, связанных с деятельностью организации.</w:t>
      </w:r>
      <w:r>
        <w:rPr>
          <w:color w:val="auto"/>
          <w:sz w:val="24"/>
          <w:szCs w:val="24"/>
          <w:vertAlign w:val="subscript"/>
        </w:rPr>
        <w:t xml:space="preserve">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Рабочая программа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описание материально-технической базы.</w:t>
      </w:r>
    </w:p>
    <w:p>
      <w:pPr>
        <w:pStyle w:val="Normal"/>
        <w:spacing w:lineRule="auto" w:line="259" w:before="0" w:after="160"/>
        <w:ind w:left="0" w:hanging="0"/>
        <w:jc w:val="left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spacing w:lineRule="auto" w:line="240" w:before="0" w:after="0"/>
        <w:ind w:left="0" w:hanging="0"/>
        <w:jc w:val="center"/>
        <w:rPr/>
      </w:pPr>
      <w:r>
        <w:rPr>
          <w:b/>
          <w:bCs/>
          <w:color w:val="auto"/>
          <w:sz w:val="24"/>
          <w:szCs w:val="24"/>
        </w:rPr>
        <w:t>Содержание рабочей программы дисциплины</w:t>
      </w:r>
    </w:p>
    <w:p>
      <w:pPr>
        <w:pStyle w:val="Normal"/>
        <w:spacing w:lineRule="auto" w:line="240" w:before="0" w:after="0"/>
        <w:ind w:left="0" w:hanging="0"/>
        <w:rPr/>
      </w:pPr>
      <w:r>
        <w:rPr/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дисциплины ...................................................................................................... 4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планируемых результатов освоения образовательной программы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(перечень компетенций) с указанием индикаторов их достижения и планируемых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результатов обучения по дисциплине ............................................................................................. 4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Место дисциплины в структуре образовательной программы........................................... 5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Объем дисциплины  в зачетных единицах и академических часах с выделением объема аудиторной (лекции, семинары) и самостоятельной работы обучающихся……….  5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  ……………….. 6 </w:t>
      </w:r>
    </w:p>
    <w:p>
      <w:pPr>
        <w:pStyle w:val="Normal"/>
        <w:numPr>
          <w:ilvl w:val="1"/>
          <w:numId w:val="2"/>
        </w:numPr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Содержание дисциплины ......................................................................................................... 6 </w:t>
      </w:r>
    </w:p>
    <w:p>
      <w:pPr>
        <w:pStyle w:val="Normal"/>
        <w:numPr>
          <w:ilvl w:val="1"/>
          <w:numId w:val="2"/>
        </w:numPr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Учебно-тематический план ..................................................................................................... 7 </w:t>
      </w:r>
    </w:p>
    <w:p>
      <w:pPr>
        <w:pStyle w:val="Normal"/>
        <w:spacing w:lineRule="auto" w:line="240" w:before="0" w:after="0"/>
        <w:ind w:left="199" w:hanging="0"/>
        <w:rPr>
          <w:sz w:val="24"/>
          <w:szCs w:val="24"/>
        </w:rPr>
      </w:pPr>
      <w:r>
        <w:rPr>
          <w:sz w:val="24"/>
          <w:szCs w:val="24"/>
        </w:rPr>
        <w:t xml:space="preserve">5.3. Содержание семинаров и практических занятий ................................................................... 8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-15" w:hanging="0"/>
        <w:rPr>
          <w:sz w:val="24"/>
          <w:szCs w:val="24"/>
        </w:rPr>
      </w:pPr>
      <w:r>
        <w:rPr>
          <w:b/>
          <w:sz w:val="24"/>
          <w:szCs w:val="24"/>
        </w:rPr>
        <w:t>Перечень учебно-методического обеспечения для самостоятельной работы обучающихся по дисциплине ....</w:t>
      </w:r>
      <w:r>
        <w:rPr>
          <w:sz w:val="24"/>
          <w:szCs w:val="24"/>
        </w:rPr>
        <w:t xml:space="preserve">.................................................................................................... .11 </w:t>
      </w:r>
    </w:p>
    <w:p>
      <w:pPr>
        <w:pStyle w:val="Normal"/>
        <w:numPr>
          <w:ilvl w:val="1"/>
          <w:numId w:val="2"/>
        </w:numPr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Перечень вопросов, отводимых на самостоятельное освоение дисциплины, </w:t>
      </w:r>
    </w:p>
    <w:p>
      <w:pPr>
        <w:pStyle w:val="Normal"/>
        <w:spacing w:lineRule="auto" w:line="240" w:before="0" w:after="0"/>
        <w:ind w:left="199" w:hanging="0"/>
        <w:rPr>
          <w:sz w:val="24"/>
          <w:szCs w:val="24"/>
        </w:rPr>
      </w:pPr>
      <w:r>
        <w:rPr>
          <w:sz w:val="24"/>
          <w:szCs w:val="24"/>
        </w:rPr>
        <w:t xml:space="preserve">формы внеаудиторной самостоятельной работы ......................................................................... 11 </w:t>
      </w:r>
    </w:p>
    <w:p>
      <w:pPr>
        <w:pStyle w:val="Normal"/>
        <w:numPr>
          <w:ilvl w:val="1"/>
          <w:numId w:val="2"/>
        </w:numPr>
        <w:spacing w:lineRule="auto" w:line="240" w:before="0" w:after="0"/>
        <w:ind w:left="-15" w:hanging="0"/>
        <w:rPr>
          <w:sz w:val="24"/>
          <w:szCs w:val="24"/>
        </w:rPr>
      </w:pPr>
      <w:r>
        <w:rPr>
          <w:bCs/>
          <w:color w:val="auto"/>
          <w:sz w:val="24"/>
          <w:szCs w:val="24"/>
        </w:rPr>
        <w:t>Перечень вопросов, заданий, тем для подготовки к текущему контролю (согласно таблицы 2) ……………………………………………………………………………………..…...</w:t>
      </w:r>
      <w:r>
        <w:rPr>
          <w:sz w:val="24"/>
          <w:szCs w:val="24"/>
        </w:rPr>
        <w:t xml:space="preserve">13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720" w:hanging="0"/>
        <w:contextualSpacing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Перечень примерных вопросов</w:t>
      </w:r>
      <w:r>
        <w:rPr>
          <w:color w:val="auto"/>
          <w:sz w:val="24"/>
          <w:szCs w:val="24"/>
        </w:rPr>
        <w:t xml:space="preserve"> </w:t>
      </w:r>
      <w:r>
        <w:rPr>
          <w:b/>
          <w:bCs/>
          <w:color w:val="auto"/>
          <w:sz w:val="24"/>
          <w:szCs w:val="24"/>
        </w:rPr>
        <w:t>для проведения промежуточной аттестации обучающихся по дисциплине  ……………</w:t>
      </w:r>
      <w:r>
        <w:rPr>
          <w:sz w:val="24"/>
          <w:szCs w:val="24"/>
        </w:rPr>
        <w:t xml:space="preserve">.....................................................................................14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основной и дополнительной учебной литературы, необходимой для освоения дисциплины </w:t>
      </w:r>
      <w:r>
        <w:rPr>
          <w:sz w:val="24"/>
          <w:szCs w:val="24"/>
        </w:rPr>
        <w:t>...................................................................................................................... 15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ресурсов информационно-телекоммуникационной сети «Интернет»,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sz w:val="24"/>
          <w:szCs w:val="24"/>
        </w:rPr>
      </w:pPr>
      <w:r>
        <w:rPr>
          <w:b/>
          <w:sz w:val="24"/>
          <w:szCs w:val="24"/>
        </w:rPr>
        <w:t>необходимых для освоения дисциплины</w:t>
      </w:r>
      <w:r>
        <w:rPr>
          <w:sz w:val="24"/>
          <w:szCs w:val="24"/>
        </w:rPr>
        <w:t xml:space="preserve"> ..................................................................................... 17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Методические указания для обучающихся по освоению дисциплины ……………...... 17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0" w:after="0"/>
        <w:ind w:left="-15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>
        <w:rPr>
          <w:sz w:val="24"/>
          <w:szCs w:val="24"/>
        </w:rPr>
        <w:t xml:space="preserve"> ................................. 18 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left="567" w:hanging="0"/>
        <w:rPr>
          <w:bCs/>
          <w:color w:val="auto"/>
          <w:sz w:val="24"/>
          <w:szCs w:val="24"/>
        </w:rPr>
      </w:pPr>
      <w:r>
        <w:rPr>
          <w:sz w:val="24"/>
          <w:szCs w:val="24"/>
        </w:rPr>
        <w:t>11.1</w:t>
      </w:r>
      <w:r>
        <w:rPr>
          <w:b/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>Комплект лицензионного программного обеспечения…………………………….….18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left="567" w:hanging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11.2 Современные профессиональные базы данных и информационные справочные системы………………………………………………………………………………………...18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left="567" w:hanging="0"/>
        <w:rPr>
          <w:sz w:val="24"/>
          <w:szCs w:val="24"/>
        </w:rPr>
      </w:pPr>
      <w:r>
        <w:rPr>
          <w:bCs/>
          <w:color w:val="auto"/>
          <w:sz w:val="24"/>
          <w:szCs w:val="24"/>
        </w:rPr>
        <w:t>11.3 Сертифицированные программные и аппаратные средства защиты информации….19</w:t>
      </w:r>
    </w:p>
    <w:p>
      <w:pPr>
        <w:pStyle w:val="Normal"/>
        <w:spacing w:lineRule="auto" w:line="240" w:before="0" w:after="0"/>
        <w:ind w:left="-15" w:hanging="0"/>
        <w:rPr>
          <w:b/>
          <w:b/>
          <w:sz w:val="24"/>
          <w:szCs w:val="24"/>
        </w:rPr>
      </w:pPr>
      <w:r>
        <w:rPr>
          <w:sz w:val="24"/>
          <w:szCs w:val="24"/>
        </w:rPr>
        <w:t xml:space="preserve">12. </w:t>
      </w:r>
      <w:r>
        <w:rPr>
          <w:b/>
          <w:sz w:val="24"/>
          <w:szCs w:val="24"/>
        </w:rPr>
        <w:t xml:space="preserve">Описание материально-технической базы, необходимой для осуществления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b/>
          <w:sz w:val="24"/>
          <w:szCs w:val="24"/>
        </w:rPr>
        <w:t>образовательного процесса по дисциплине. ..</w:t>
      </w:r>
      <w:r>
        <w:rPr>
          <w:sz w:val="24"/>
          <w:szCs w:val="24"/>
        </w:rPr>
        <w:t xml:space="preserve">............................................................................. 19 </w:t>
      </w:r>
    </w:p>
    <w:p>
      <w:pPr>
        <w:pStyle w:val="Normal"/>
        <w:spacing w:lineRule="auto" w:line="240" w:before="0" w:after="0"/>
        <w:ind w:lef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ПРИЛОЖЕНИЕ1. </w:t>
      </w:r>
      <w:r>
        <w:rPr>
          <w:b/>
          <w:bCs/>
          <w:color w:val="auto"/>
          <w:sz w:val="24"/>
          <w:szCs w:val="24"/>
        </w:rPr>
        <w:t>Фонды оценочных средств для проверки каждой компетенции, формируемой дисциплиной………………………………………………………………………20</w:t>
      </w:r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 </w:t>
      </w:r>
    </w:p>
    <w:p>
      <w:pPr>
        <w:pStyle w:val="Normal"/>
        <w:spacing w:lineRule="auto" w:line="240" w:before="0" w:after="0"/>
        <w:ind w:left="0" w:hanging="0"/>
        <w:jc w:val="left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numPr>
          <w:ilvl w:val="1"/>
          <w:numId w:val="3"/>
        </w:numPr>
        <w:spacing w:lineRule="auto" w:line="240" w:before="0" w:after="0"/>
        <w:ind w:left="720" w:right="-10" w:firstLine="698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дисциплины  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b/>
          <w:sz w:val="24"/>
          <w:szCs w:val="24"/>
        </w:rPr>
        <w:t>«</w:t>
      </w:r>
      <w:r>
        <w:rPr>
          <w:sz w:val="24"/>
          <w:szCs w:val="24"/>
        </w:rPr>
        <w:t xml:space="preserve">Оценка эффективности   результативности рекламных кампаний». </w:t>
      </w:r>
    </w:p>
    <w:p>
      <w:pPr>
        <w:pStyle w:val="Normal"/>
        <w:numPr>
          <w:ilvl w:val="1"/>
          <w:numId w:val="3"/>
        </w:numPr>
        <w:spacing w:lineRule="auto" w:line="240" w:before="0" w:after="0"/>
        <w:ind w:left="0" w:right="-10" w:firstLine="709"/>
        <w:rPr>
          <w:sz w:val="24"/>
          <w:szCs w:val="24"/>
        </w:rPr>
      </w:pPr>
      <w:r>
        <w:rPr>
          <w:b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1418" w:right="-10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Grid"/>
        <w:tblW w:w="10922" w:type="dxa"/>
        <w:jc w:val="left"/>
        <w:tblInd w:w="-852" w:type="dxa"/>
        <w:tblLayout w:type="fixed"/>
        <w:tblCellMar>
          <w:top w:w="0" w:type="dxa"/>
          <w:left w:w="5" w:type="dxa"/>
          <w:bottom w:w="0" w:type="dxa"/>
          <w:right w:w="48" w:type="dxa"/>
        </w:tblCellMar>
        <w:tblLook w:noVBand="1" w:val="04a0" w:noHBand="0" w:lastColumn="0" w:firstColumn="1" w:lastRow="0" w:firstRow="1"/>
      </w:tblPr>
      <w:tblGrid>
        <w:gridCol w:w="1099"/>
        <w:gridCol w:w="2024"/>
        <w:gridCol w:w="3828"/>
        <w:gridCol w:w="3970"/>
      </w:tblGrid>
      <w:tr>
        <w:trPr>
          <w:trHeight w:val="691" w:hRule="atLeast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firstLine="7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Код компет енции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Наименование  компетенции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Индикаторы достижения  компетенции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Результаты обучения (умения и знания), соотнесенные с индикаторами достижения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компетенции</w:t>
            </w:r>
          </w:p>
        </w:tc>
      </w:tr>
      <w:tr>
        <w:trPr>
          <w:trHeight w:val="2288" w:hRule="atLeast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6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ПКП-5</w:t>
            </w:r>
          </w:p>
        </w:tc>
        <w:tc>
          <w:tcPr>
            <w:tcW w:w="2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6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Способность управлять рисками коммуникационной деятельности и измерять эффекты интегрированной коммуникации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-144" w:leader="none"/>
              </w:tabs>
              <w:spacing w:lineRule="auto" w:line="240" w:before="0" w:after="0"/>
              <w:ind w:left="-15" w:right="39" w:firstLine="14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Планирует работу по минимализации рисков в коммуникациях организации-объекта</w:t>
            </w:r>
          </w:p>
          <w:p>
            <w:pPr>
              <w:pStyle w:val="Normal"/>
              <w:widowControl/>
              <w:tabs>
                <w:tab w:val="clear" w:pos="708"/>
                <w:tab w:val="left" w:pos="501" w:leader="none"/>
              </w:tabs>
              <w:spacing w:lineRule="auto" w:line="240" w:before="0" w:after="0"/>
              <w:ind w:left="268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9" w:right="4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Умения:</w:t>
            </w:r>
            <w:r>
              <w:rPr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решать коммуникативные задачи     по     информированию общественности,   изменению   ее взглядов  и  поведения  с помощью цифровых информационно-коммуникативных технологий.</w:t>
            </w:r>
          </w:p>
          <w:p>
            <w:pPr>
              <w:pStyle w:val="Normal"/>
              <w:widowControl/>
              <w:spacing w:lineRule="auto" w:line="240" w:before="0" w:after="0"/>
              <w:ind w:left="29" w:right="4" w:hanging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Знания:</w:t>
            </w:r>
            <w:r>
              <w:rPr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особенности   цифровых коммуникаций, создания социальных сетей и сайтов</w:t>
            </w:r>
          </w:p>
        </w:tc>
      </w:tr>
      <w:tr>
        <w:trPr>
          <w:trHeight w:val="2288" w:hRule="atLeast"/>
        </w:trPr>
        <w:tc>
          <w:tcPr>
            <w:tcW w:w="109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6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202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6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92" w:leader="none"/>
                <w:tab w:val="left" w:pos="502" w:leader="none"/>
              </w:tabs>
              <w:spacing w:lineRule="auto" w:line="242" w:before="0" w:after="0"/>
              <w:ind w:left="720" w:right="101" w:firstLine="698"/>
              <w:contextualSpacing/>
              <w:rPr>
                <w:color w:val="auto"/>
                <w:sz w:val="23"/>
                <w:lang w:eastAsia="en-US"/>
              </w:rPr>
            </w:pPr>
            <w:r>
              <w:rPr>
                <w:color w:val="auto"/>
                <w:kern w:val="0"/>
                <w:sz w:val="23"/>
                <w:szCs w:val="22"/>
                <w:lang w:val="ru-RU" w:eastAsia="en-US" w:bidi="ar-SA"/>
              </w:rPr>
              <w:t xml:space="preserve">Осуществляет подготовку к антикризисному </w:t>
            </w:r>
            <w:r>
              <w:rPr>
                <w:color w:val="auto"/>
                <w:spacing w:val="-2"/>
                <w:kern w:val="0"/>
                <w:sz w:val="23"/>
                <w:szCs w:val="22"/>
                <w:lang w:val="ru-RU" w:eastAsia="en-US" w:bidi="ar-SA"/>
              </w:rPr>
              <w:t>реагированию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144" w:leader="none"/>
              </w:tabs>
              <w:spacing w:lineRule="auto" w:line="240" w:before="0" w:after="0"/>
              <w:ind w:left="36" w:right="39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9" w:right="4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Умения:</w:t>
            </w:r>
            <w:r>
              <w:rPr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уяснять  коммуникативную ситуацию,   определять   цели   и целевые  аудитории,  участвовать  в планирования     и     реализации коммуникационной   стратегии   с использованием цифровых коммуникаций.</w:t>
            </w:r>
          </w:p>
          <w:p>
            <w:pPr>
              <w:pStyle w:val="Normal"/>
              <w:widowControl/>
              <w:spacing w:lineRule="auto" w:line="240" w:before="0" w:after="0"/>
              <w:ind w:left="29" w:right="4" w:hanging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Знания: </w:t>
            </w:r>
            <w:r>
              <w:rPr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возможностей и ограничений цифровых коммуникаций</w:t>
            </w:r>
          </w:p>
        </w:tc>
      </w:tr>
      <w:tr>
        <w:trPr>
          <w:trHeight w:val="2288" w:hRule="atLeast"/>
        </w:trPr>
        <w:tc>
          <w:tcPr>
            <w:tcW w:w="10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6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202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6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26"/>
              </w:numPr>
              <w:spacing w:lineRule="auto" w:line="240"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Анализирует финансовые и нефинансовые показатели системы</w:t>
            </w:r>
            <w:r>
              <w:rPr>
                <w:color w:val="auto"/>
                <w:spacing w:val="-2"/>
                <w:kern w:val="0"/>
                <w:sz w:val="23"/>
                <w:szCs w:val="22"/>
                <w:lang w:val="ru-RU" w:eastAsia="en-US" w:bidi="ar-SA"/>
              </w:rPr>
              <w:t xml:space="preserve"> интегрированных коммуникаций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140" w:right="4" w:hanging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Умения: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выстраивать взаимодействие   с   получателями коммуникативных   сообщений   на основе рационально организованных дискурсивных практик.</w:t>
            </w:r>
          </w:p>
          <w:p>
            <w:pPr>
              <w:pStyle w:val="Normal"/>
              <w:widowControl/>
              <w:spacing w:lineRule="auto" w:line="240" w:before="0" w:after="0"/>
              <w:ind w:left="140" w:right="4" w:hanging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Знания: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особенностей коммуникации с  различными  информационными факторами.</w:t>
            </w:r>
          </w:p>
        </w:tc>
      </w:tr>
    </w:tbl>
    <w:p>
      <w:pPr>
        <w:pStyle w:val="Normal"/>
        <w:spacing w:lineRule="auto" w:line="240" w:before="0" w:after="0"/>
        <w:ind w:left="708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numPr>
          <w:ilvl w:val="1"/>
          <w:numId w:val="3"/>
        </w:numPr>
        <w:spacing w:lineRule="auto" w:line="240" w:before="0" w:after="0"/>
        <w:ind w:left="720" w:right="-10" w:firstLine="698"/>
        <w:rPr>
          <w:sz w:val="24"/>
          <w:szCs w:val="24"/>
        </w:rPr>
      </w:pPr>
      <w:r>
        <w:rPr>
          <w:b/>
          <w:sz w:val="24"/>
          <w:szCs w:val="24"/>
        </w:rPr>
        <w:t>Место дисциплины в структуре образовательной программы.</w:t>
      </w:r>
      <w:r>
        <w:rPr>
          <w:b/>
          <w:i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Дисциплина «Оценка эффективности результативности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рекламных кампаний» относится к модулю общепрофессиональных дисциплин по направлению подготовки 42.03.01 Реклама и связи с общественностью.  </w:t>
      </w:r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numPr>
          <w:ilvl w:val="1"/>
          <w:numId w:val="3"/>
        </w:numPr>
        <w:spacing w:lineRule="auto" w:line="240" w:before="0" w:after="0"/>
        <w:ind w:left="720" w:right="-10" w:firstLine="698"/>
        <w:rPr>
          <w:sz w:val="24"/>
          <w:szCs w:val="24"/>
        </w:rPr>
      </w:pPr>
      <w:r>
        <w:rPr>
          <w:b/>
          <w:sz w:val="24"/>
          <w:szCs w:val="24"/>
        </w:rPr>
        <w:t xml:space="preserve">Объем дисциплины   в зачетных единицах и академических часах с выделением объема аудиторной (лекции, семинары) и самостоятельной работы обучающихся </w:t>
      </w:r>
      <w:r>
        <w:rPr>
          <w:b/>
          <w:bCs/>
          <w:color w:val="auto"/>
          <w:sz w:val="24"/>
          <w:szCs w:val="24"/>
          <w:lang w:eastAsia="en-US"/>
        </w:rPr>
        <w:t>(в семестре, в</w:t>
      </w:r>
      <w:r>
        <w:rPr>
          <w:b/>
          <w:bCs/>
          <w:color w:val="auto"/>
          <w:spacing w:val="-6"/>
          <w:sz w:val="24"/>
          <w:szCs w:val="24"/>
          <w:lang w:eastAsia="en-US"/>
        </w:rPr>
        <w:t xml:space="preserve"> </w:t>
      </w:r>
      <w:r>
        <w:rPr>
          <w:b/>
          <w:bCs/>
          <w:color w:val="auto"/>
          <w:sz w:val="24"/>
          <w:szCs w:val="24"/>
          <w:lang w:eastAsia="en-US"/>
        </w:rPr>
        <w:t>сессию)</w:t>
      </w:r>
      <w:r>
        <w:rPr>
          <w:b/>
          <w:sz w:val="24"/>
          <w:szCs w:val="24"/>
        </w:rPr>
        <w:t xml:space="preserve"> . </w:t>
      </w:r>
    </w:p>
    <w:p>
      <w:pPr>
        <w:pStyle w:val="Normal"/>
        <w:spacing w:lineRule="auto" w:line="240" w:before="0" w:after="0"/>
        <w:ind w:left="372" w:right="-15" w:hanging="10"/>
        <w:jc w:val="center"/>
        <w:rPr>
          <w:sz w:val="24"/>
          <w:szCs w:val="24"/>
        </w:rPr>
      </w:pPr>
      <w:r>
        <w:rPr>
          <w:i/>
          <w:sz w:val="24"/>
          <w:szCs w:val="24"/>
        </w:rPr>
        <w:t xml:space="preserve">очная   формы обучения </w:t>
      </w:r>
    </w:p>
    <w:tbl>
      <w:tblPr>
        <w:tblStyle w:val="TableGrid"/>
        <w:tblW w:w="9781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17" w:type="dxa"/>
        </w:tblCellMar>
        <w:tblLook w:noVBand="1" w:val="04a0" w:noHBand="0" w:lastColumn="0" w:firstColumn="1" w:lastRow="0" w:firstRow="1"/>
      </w:tblPr>
      <w:tblGrid>
        <w:gridCol w:w="5244"/>
        <w:gridCol w:w="2268"/>
        <w:gridCol w:w="2269"/>
      </w:tblGrid>
      <w:tr>
        <w:trPr>
          <w:trHeight w:val="562" w:hRule="atLeast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Вид учебной работы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70" w:right="4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Всего (в з/е и часах)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53" w:hanging="0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Семестр 6</w:t>
            </w:r>
          </w:p>
          <w:p>
            <w:pPr>
              <w:pStyle w:val="Normal"/>
              <w:widowControl/>
              <w:spacing w:lineRule="auto" w:line="240" w:before="0" w:after="0"/>
              <w:ind w:left="185" w:hanging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(в часах)</w:t>
            </w:r>
          </w:p>
        </w:tc>
      </w:tr>
      <w:tr>
        <w:trPr>
          <w:trHeight w:val="286" w:hRule="atLeast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3 з/е, 108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108</w:t>
            </w:r>
          </w:p>
        </w:tc>
      </w:tr>
      <w:tr>
        <w:trPr>
          <w:trHeight w:val="288" w:hRule="atLeast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Контактная работа - Аудиторные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26</w:t>
            </w:r>
          </w:p>
        </w:tc>
      </w:tr>
      <w:tr>
        <w:trPr>
          <w:trHeight w:val="286" w:hRule="atLeast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Лекции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</w:tr>
      <w:tr>
        <w:trPr>
          <w:trHeight w:val="286" w:hRule="atLeast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Семинары, практические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</w:tr>
      <w:tr>
        <w:trPr>
          <w:trHeight w:val="286" w:hRule="atLeast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82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82</w:t>
            </w:r>
          </w:p>
        </w:tc>
      </w:tr>
      <w:tr>
        <w:trPr>
          <w:trHeight w:val="263" w:hRule="atLeast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Вид текущего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зачет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зачет</w:t>
            </w:r>
          </w:p>
        </w:tc>
      </w:tr>
    </w:tbl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numPr>
          <w:ilvl w:val="1"/>
          <w:numId w:val="3"/>
        </w:numPr>
        <w:spacing w:lineRule="auto" w:line="240" w:before="0" w:after="0"/>
        <w:ind w:left="0" w:right="-10"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>
      <w:pPr>
        <w:pStyle w:val="Normal"/>
        <w:spacing w:lineRule="auto" w:line="240" w:before="0" w:after="0"/>
        <w:ind w:left="0" w:right="-10" w:firstLine="1418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08" w:right="-10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5.1. Содержание дисциплины </w:t>
      </w:r>
    </w:p>
    <w:p>
      <w:pPr>
        <w:pStyle w:val="Normal"/>
        <w:spacing w:lineRule="auto" w:line="240" w:before="0" w:after="0"/>
        <w:ind w:left="-15" w:right="-10" w:firstLine="698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b/>
          <w:sz w:val="24"/>
          <w:szCs w:val="24"/>
        </w:rPr>
        <w:t>Тема 1. Теоретические основы оценки эффективности и результативности   рекламных компаний</w:t>
      </w:r>
    </w:p>
    <w:p>
      <w:pPr>
        <w:pStyle w:val="Normal"/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  <w:t>Современные концепции и теории управления эффективностью рекламных компаний. Установленные методики оценки. Анализ оценки рекламных компаний</w:t>
      </w:r>
    </w:p>
    <w:p>
      <w:pPr>
        <w:pStyle w:val="Normal"/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  <w:t>. Виды оценивания. Аналитическое обеспечение оценивания. Классификация показателей оценивания. Интегральные показатели оценки эффективности рекламных компаний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. Инструменты оценивания. Требования к показателям эффективности и результативности рекламных компаний. </w:t>
      </w:r>
    </w:p>
    <w:p>
      <w:pPr>
        <w:pStyle w:val="Normal"/>
        <w:spacing w:lineRule="auto" w:line="240" w:before="0" w:after="0"/>
        <w:ind w:left="-15" w:right="-10" w:firstLine="698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2. Общемировые тенденции оценки показателей результативности и эффективности рекламных компаний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Международный опыт оценки показателей результативности и эффективности рекламных компаний, возможность применения метода сравнительного анализа. Зарубежная система оценки показателей результативности и эффективности рекламных компаний. Сравнительный анализ отечественного и международного опыта разработки систем оценки показателей результативности и эффективности рекламных компаний. </w:t>
      </w:r>
    </w:p>
    <w:p>
      <w:pPr>
        <w:pStyle w:val="Normal"/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b/>
          <w:sz w:val="24"/>
          <w:szCs w:val="24"/>
        </w:rPr>
        <w:t>Тема 3. Аналитическое обеспечение эффективности и результативности рекламных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компаний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Показатели результативности и эффективности деятельности руководителей муниципальных администраций (сити-менеджеров). Виды показателей результативности рекламных компаний. Оценка фактических значений показателей. Определение итоговой оценки. </w:t>
      </w:r>
    </w:p>
    <w:p>
      <w:pPr>
        <w:pStyle w:val="Normal"/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b/>
          <w:sz w:val="24"/>
          <w:szCs w:val="24"/>
        </w:rPr>
        <w:t xml:space="preserve">Тема 4. Оценка результативности и эффективности профессиональной деятельности   служащих  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Управление результативностью профессиональной служебной деятельности на основании концепции «управление по результатам» (MBO). Оценка эффективности и результативности   служащих, осуществляемая руководителем. Проверка корректности постановки показателей эффективности и результативности профессиональной служебной деятельности   служащих. Карта итогов оценки профессиональной служебной деятельности   служащих в автоматизированной системе. Рекомендации по принятию кадровых решений по результатам итоговой оценки эффективности и результативности профессиональной служебной деятельности государственных гражданских служащих. Подготовка к проведению оценки. Разработка дорожной карты с учетом планов подразделений. Актуализация дорожной карты и планов подразделений с учетом изменений шкалы оценки. </w:t>
      </w:r>
    </w:p>
    <w:p>
      <w:pPr>
        <w:pStyle w:val="Normal"/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b/>
          <w:sz w:val="24"/>
          <w:szCs w:val="24"/>
        </w:rPr>
        <w:t>Тема 5. Оценка эффективности и результативности контрольнонадзорной деятельности</w:t>
      </w:r>
      <w:r>
        <w:rPr>
          <w:color w:val="333333"/>
          <w:sz w:val="24"/>
          <w:szCs w:val="24"/>
        </w:rPr>
        <w:t xml:space="preserve">  </w:t>
      </w:r>
    </w:p>
    <w:p>
      <w:pPr>
        <w:pStyle w:val="Normal"/>
        <w:spacing w:lineRule="auto" w:line="240"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Система оценки результативности и эффективности контрольно-надзорной деятельности. Базовая модель определения показателей результативности и эффективности контрольно-надзорной деятельности. Этапы разработки и внедрения </w:t>
        <w:tab/>
        <w:t xml:space="preserve">системы </w:t>
        <w:tab/>
        <w:t xml:space="preserve">оценки. </w:t>
        <w:tab/>
        <w:t xml:space="preserve">Периодичность </w:t>
        <w:tab/>
        <w:t xml:space="preserve">оценки </w:t>
        <w:tab/>
        <w:t xml:space="preserve">эффективности </w:t>
        <w:tab/>
        <w:t>и результативности, рекомендуемые веса оценки. Опыт внедрения показателей эффективности и результативности деятельности в контрольных органах. Методика формирования индекса качества администрирования контрольнонадзорных функций. Методика оценки эффективности и результативности профессиональной служебной деятельности   служащих, реализующих контрольные (надзорные) функции.</w:t>
      </w:r>
      <w:r>
        <w:rPr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-17" w:right="-11" w:firstLine="697"/>
        <w:rPr>
          <w:sz w:val="24"/>
          <w:szCs w:val="24"/>
        </w:rPr>
      </w:pPr>
      <w:r>
        <w:rPr>
          <w:b/>
          <w:sz w:val="24"/>
          <w:szCs w:val="24"/>
        </w:rPr>
        <w:t xml:space="preserve">Тема 6. Оценка эффективности и результативности рекламных компаний </w:t>
      </w:r>
      <w:r>
        <w:rPr>
          <w:sz w:val="24"/>
          <w:szCs w:val="24"/>
        </w:rPr>
        <w:t xml:space="preserve">Направления оценки уровня зрелости организации проектной деятельности рекламных компаний. Методы и инструментальные средства оценки проектного управления. Управление стимулированием участников проектов в целях повышения эффективности и результативности </w:t>
        <w:tab/>
        <w:t xml:space="preserve">деятельности </w:t>
        <w:tab/>
        <w:t xml:space="preserve">компании. </w:t>
        <w:tab/>
        <w:t xml:space="preserve">Рейтинг </w:t>
        <w:tab/>
        <w:t xml:space="preserve">эффективности проектного управления компанией. Оценка деятельности проектных офисов  , оказывающих необходимые услуги по обеспечению эффективного управления реализацией проектов, программ, портфелей.                             </w:t>
      </w:r>
    </w:p>
    <w:p>
      <w:pPr>
        <w:pStyle w:val="Normal"/>
        <w:spacing w:lineRule="auto" w:line="240" w:before="0" w:after="0"/>
        <w:ind w:left="708" w:right="-1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08" w:right="-10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5.2. Учебно-тематический план </w:t>
      </w:r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372" w:right="-15" w:hanging="10"/>
        <w:jc w:val="center"/>
        <w:rPr>
          <w:sz w:val="24"/>
          <w:szCs w:val="24"/>
        </w:rPr>
      </w:pPr>
      <w:r>
        <w:rPr>
          <w:i/>
          <w:sz w:val="24"/>
          <w:szCs w:val="24"/>
        </w:rPr>
        <w:t>очная   форма обучения</w:t>
      </w:r>
      <w:r>
        <w:rPr>
          <w:sz w:val="24"/>
          <w:szCs w:val="24"/>
        </w:rPr>
        <w:t xml:space="preserve"> </w:t>
      </w:r>
    </w:p>
    <w:tbl>
      <w:tblPr>
        <w:tblStyle w:val="TableGrid"/>
        <w:tblW w:w="10615" w:type="dxa"/>
        <w:jc w:val="left"/>
        <w:tblInd w:w="-567" w:type="dxa"/>
        <w:tblLayout w:type="fixed"/>
        <w:tblCellMar>
          <w:top w:w="0" w:type="dxa"/>
          <w:left w:w="106" w:type="dxa"/>
          <w:bottom w:w="0" w:type="dxa"/>
          <w:right w:w="51" w:type="dxa"/>
        </w:tblCellMar>
        <w:tblLook w:noVBand="1" w:val="04a0" w:noHBand="0" w:lastColumn="0" w:firstColumn="1" w:lastRow="0" w:firstRow="1"/>
      </w:tblPr>
      <w:tblGrid>
        <w:gridCol w:w="2657"/>
        <w:gridCol w:w="710"/>
        <w:gridCol w:w="708"/>
        <w:gridCol w:w="851"/>
        <w:gridCol w:w="1558"/>
        <w:gridCol w:w="1276"/>
        <w:gridCol w:w="993"/>
        <w:gridCol w:w="1860"/>
      </w:tblGrid>
      <w:tr>
        <w:trPr>
          <w:trHeight w:val="240" w:hRule="atLeast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1495" w:hanging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Трудоемкость в часах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Формы текущего контроля успеваемости</w:t>
            </w:r>
          </w:p>
        </w:tc>
      </w:tr>
      <w:tr>
        <w:trPr>
          <w:trHeight w:val="240" w:hRule="atLeast"/>
        </w:trPr>
        <w:tc>
          <w:tcPr>
            <w:tcW w:w="265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Аудиторная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644" w:leader="none"/>
              </w:tabs>
              <w:spacing w:lineRule="auto" w:line="240" w:before="0" w:after="0"/>
              <w:ind w:left="0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644" w:leader="none"/>
              </w:tabs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Самостоятельная работа</w:t>
            </w:r>
          </w:p>
        </w:tc>
        <w:tc>
          <w:tcPr>
            <w:tcW w:w="186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</w:tr>
      <w:tr>
        <w:trPr>
          <w:trHeight w:val="698" w:hRule="atLeast"/>
        </w:trPr>
        <w:tc>
          <w:tcPr>
            <w:tcW w:w="265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Лекции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right="41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Семинары, практически е занятия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в т.ч. занятия в интерактивных формах</w:t>
            </w:r>
          </w:p>
        </w:tc>
        <w:tc>
          <w:tcPr>
            <w:tcW w:w="9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8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</w:tr>
      <w:tr>
        <w:trPr>
          <w:trHeight w:val="1666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1. Теоретические основы оценки эффективности 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рекламных кампаний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решение тестовых заданий</w:t>
            </w:r>
          </w:p>
        </w:tc>
      </w:tr>
      <w:tr>
        <w:trPr>
          <w:trHeight w:val="1116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2. Общемировые тенденции оценки показателей результативности и эффективности рекламных кампаний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решение тестовых заданий</w:t>
            </w:r>
          </w:p>
        </w:tc>
      </w:tr>
      <w:tr>
        <w:trPr>
          <w:trHeight w:val="1666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right="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3. Аналитическое обеспечение эффективности и результативности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рекламных кампаний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выполнение ситуационных заданий</w:t>
            </w:r>
          </w:p>
        </w:tc>
      </w:tr>
      <w:tr>
        <w:trPr>
          <w:trHeight w:val="1666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4. Оценка результативности и</w:t>
            </w:r>
          </w:p>
          <w:p>
            <w:pPr>
              <w:pStyle w:val="Normal"/>
              <w:widowControl/>
              <w:spacing w:lineRule="auto" w:line="240" w:before="0" w:after="0"/>
              <w:ind w:left="0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эффективности профессиональной деятельности  гражданских служащих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выполнение ситуационных заданий</w:t>
            </w:r>
          </w:p>
        </w:tc>
      </w:tr>
      <w:tr>
        <w:trPr>
          <w:trHeight w:val="1114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Тема 5. Оценка эффективности и </w:t>
              <w:tab/>
              <w:t>результативности контрольно-надзорной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решение</w:t>
            </w:r>
          </w:p>
          <w:p>
            <w:pPr>
              <w:pStyle w:val="Normal"/>
              <w:widowControl/>
              <w:spacing w:lineRule="auto" w:line="240" w:before="0" w:after="0"/>
              <w:ind w:left="2" w:right="27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задач и тестовых заданий</w:t>
            </w:r>
          </w:p>
        </w:tc>
      </w:tr>
      <w:tr>
        <w:trPr>
          <w:trHeight w:val="1390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6. Оценка эффективности и результативности проектной деятельности рекламных кампаний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выполнение ситуационных заданий</w:t>
            </w:r>
          </w:p>
        </w:tc>
      </w:tr>
      <w:tr>
        <w:trPr>
          <w:trHeight w:val="728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В целом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108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82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right="5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286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Итого в 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53%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-15" w:right="-10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5.3. Содержание семинаров и практических занятий </w:t>
      </w:r>
    </w:p>
    <w:tbl>
      <w:tblPr>
        <w:tblStyle w:val="TableGrid"/>
        <w:tblW w:w="10634" w:type="dxa"/>
        <w:jc w:val="left"/>
        <w:tblInd w:w="-567" w:type="dxa"/>
        <w:tblLayout w:type="fixed"/>
        <w:tblCellMar>
          <w:top w:w="0" w:type="dxa"/>
          <w:left w:w="106" w:type="dxa"/>
          <w:bottom w:w="0" w:type="dxa"/>
          <w:right w:w="48" w:type="dxa"/>
        </w:tblCellMar>
        <w:tblLook w:noVBand="1" w:val="04a0" w:noHBand="0" w:lastColumn="0" w:firstColumn="1" w:lastRow="0" w:firstRow="1"/>
      </w:tblPr>
      <w:tblGrid>
        <w:gridCol w:w="2663"/>
        <w:gridCol w:w="5674"/>
        <w:gridCol w:w="2297"/>
      </w:tblGrid>
      <w:tr>
        <w:trPr>
          <w:trHeight w:val="1253" w:hRule="atLeast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Наименование тем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(разделов) дисциплины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Перечень вопросов для обсуждения на семинарских, практических занятиях,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рекомендуемые источники из разделов 8,9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(указывается раздел и порядковый номер источника)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4" w:right="4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Формы проведения занятий</w:t>
            </w:r>
          </w:p>
        </w:tc>
      </w:tr>
      <w:tr>
        <w:trPr>
          <w:trHeight w:val="2991" w:hRule="atLeast"/>
        </w:trPr>
        <w:tc>
          <w:tcPr>
            <w:tcW w:w="2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1.</w:t>
            </w:r>
          </w:p>
          <w:p>
            <w:pPr>
              <w:pStyle w:val="Normal"/>
              <w:widowControl/>
              <w:spacing w:lineRule="auto" w:line="240" w:before="0" w:after="0"/>
              <w:ind w:left="0" w:right="4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Теоретические основы оценки эффективности и результативности рекламных кампаний</w:t>
            </w:r>
          </w:p>
        </w:tc>
        <w:tc>
          <w:tcPr>
            <w:tcW w:w="5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40" w:before="0" w:after="0"/>
              <w:ind w:left="2" w:right="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Правовые основы оценки эффективности и результативности рекламных кампаний Современные концепции управления эффективностью и результативностью   управления.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40" w:before="0" w:after="0"/>
              <w:ind w:left="2" w:right="1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Организационные подходы к оценке эффективности и результативности рекламных кампаний Аналитический инструментарий оценки деятельности рекламных кампаний</w:t>
            </w:r>
          </w:p>
          <w:p>
            <w:pPr>
              <w:pStyle w:val="Normal"/>
              <w:widowControl/>
              <w:spacing w:lineRule="auto" w:line="240" w:before="0" w:after="0"/>
              <w:ind w:left="2" w:right="1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3 Виды оценивания эффективности и результативности деятельности органов   управления.</w:t>
            </w:r>
          </w:p>
          <w:p>
            <w:pPr>
              <w:pStyle w:val="ListParagraph"/>
              <w:widowControl/>
              <w:numPr>
                <w:ilvl w:val="0"/>
                <w:numId w:val="27"/>
              </w:numPr>
              <w:spacing w:lineRule="auto" w:line="240" w:before="0" w:after="0"/>
              <w:ind w:left="362" w:right="1" w:hanging="36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Классификация аналитического обеспечения оценивания деятельности органов   управления.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pacing w:lineRule="auto" w:line="240" w:before="0" w:after="0"/>
              <w:ind w:left="2" w:right="1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Интегральные показатели оценки эффективности и результативности рекламных кампаний</w:t>
              <w:tab/>
              <w:t xml:space="preserve"> .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pacing w:lineRule="auto" w:line="240" w:before="0" w:after="0"/>
              <w:ind w:left="2" w:right="1" w:hanging="2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Требования к показателям эффективности и результативности </w:t>
              <w:tab/>
              <w:t xml:space="preserve">деятельности </w:t>
              <w:tab/>
              <w:t xml:space="preserve">органов государственного и муниципального управления. </w:t>
            </w: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 8.1.1-8.1.11, 8.2.1-8.2.2, 8.3.3-8.3.6, Раздел 9.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решение тестовых заданий, обсуждение аналитических материалов, дискуссия</w:t>
            </w:r>
          </w:p>
        </w:tc>
      </w:tr>
      <w:tr>
        <w:trPr>
          <w:trHeight w:val="2834" w:hRule="atLeast"/>
        </w:trPr>
        <w:tc>
          <w:tcPr>
            <w:tcW w:w="266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56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3"/>
              </w:numPr>
              <w:spacing w:lineRule="auto" w:line="240" w:before="0" w:after="0"/>
              <w:ind w:left="2" w:right="1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</w:tr>
      <w:tr>
        <w:trPr>
          <w:trHeight w:val="3102" w:hRule="atLeast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2.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Общемировые тенденции </w:t>
              <w:tab/>
              <w:t>оценки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показателей результативности </w:t>
              <w:tab/>
              <w:t>и эффективности рекламных кампаний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4"/>
              </w:numPr>
              <w:spacing w:lineRule="auto" w:line="240" w:before="0" w:after="0"/>
              <w:ind w:left="2" w:right="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Международный опыт организации и осуществления оценки результативности и эффективности рекламных кампаний.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pacing w:lineRule="auto" w:line="240" w:before="0" w:after="0"/>
              <w:ind w:left="2" w:right="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Зарубежный подход к классификации и оценке показателей результативности и эффективности рекламных кампаний Применение метода сравнительного анализа.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pacing w:lineRule="auto" w:line="240" w:before="0" w:after="0"/>
              <w:ind w:left="2" w:right="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Сравнительный анализ отечественного и международного опыта разработки систем оценки показателей результативности рекламных кампаний.</w:t>
            </w:r>
          </w:p>
          <w:p>
            <w:pPr>
              <w:pStyle w:val="Normal"/>
              <w:widowControl/>
              <w:spacing w:lineRule="auto" w:line="240" w:before="0" w:after="0"/>
              <w:ind w:left="2" w:hanging="0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 8.1.1-8.1.11, 8.2.1-8.2.2, 8.3.3-8.3.6, Раздел 9.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решение</w:t>
            </w:r>
          </w:p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тестовых заданий</w:t>
            </w:r>
          </w:p>
        </w:tc>
      </w:tr>
      <w:tr>
        <w:trPr>
          <w:trHeight w:val="4138" w:hRule="atLeast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3.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Аналитическое обеспечение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эффективности 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 рекламных кампаний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40" w:before="0" w:after="0"/>
              <w:ind w:left="2" w:right="4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Аналитическое обеспечение оценки региональной эффективности и результативности рекламных кампаний.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40" w:before="0" w:after="0"/>
              <w:ind w:left="2" w:right="4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Аналитическое обеспечение анализа результативности и эффективности деятельности руководителей   (сити-менеджеров).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40" w:before="0" w:after="0"/>
              <w:ind w:left="2" w:right="4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Классификация, виды показателей результативности рекламных кампаний.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40" w:before="0" w:after="0"/>
              <w:ind w:left="2" w:right="4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Практика </w:t>
              <w:tab/>
              <w:t xml:space="preserve">оценки </w:t>
              <w:tab/>
              <w:t xml:space="preserve">эффективности </w:t>
              <w:tab/>
              <w:t xml:space="preserve">и результативности </w:t>
              <w:tab/>
              <w:t>рекламных кампаний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40" w:before="0" w:after="0"/>
              <w:ind w:left="2" w:right="4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Процедуры оценки фактических значений показателей результативности. Определение итоговой оценки.</w:t>
            </w:r>
          </w:p>
          <w:p>
            <w:pPr>
              <w:pStyle w:val="Normal"/>
              <w:widowControl/>
              <w:spacing w:lineRule="auto" w:line="240" w:before="0" w:after="0"/>
              <w:ind w:left="2" w:hanging="0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 8.1.1-8.1.11, 8.2.1-8.2.2, 8.3.3-8.3.6, Раздел 9.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выполнение ситуационных заданий, обсуждение аналитических материалов, дискуссия</w:t>
            </w:r>
          </w:p>
        </w:tc>
      </w:tr>
      <w:tr>
        <w:trPr>
          <w:trHeight w:val="756" w:hRule="atLeast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Тема </w:t>
              <w:tab/>
              <w:t xml:space="preserve">4. </w:t>
              <w:tab/>
              <w:t xml:space="preserve">Оценка результативности </w:t>
              <w:tab/>
              <w:t>и эффективности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 Современные теории управления результативностью и эффективностью профессиональной деятельности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выполнение ситуационных заданий,</w:t>
            </w:r>
          </w:p>
        </w:tc>
      </w:tr>
      <w:tr>
        <w:trPr>
          <w:trHeight w:val="6469" w:hRule="atLeast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профессиональной деятельности   служащих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гражданских служащих.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40" w:before="0" w:after="0"/>
              <w:ind w:left="-1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Концепция управления результативностью профессиональной служебной деятельности</w:t>
            </w:r>
          </w:p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«управление по результатам» (MBO).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40" w:before="0" w:after="0"/>
              <w:ind w:left="-1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Оценка </w:t>
              <w:tab/>
              <w:t xml:space="preserve">эффективности </w:t>
              <w:tab/>
              <w:t xml:space="preserve">и </w:t>
              <w:tab/>
              <w:t xml:space="preserve">результативности   </w:t>
              <w:tab/>
              <w:t>служащих, осуществляемая руководителем.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40" w:before="0" w:after="0"/>
              <w:ind w:left="-1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Показатели эффективности и результативности профессиональной </w:t>
              <w:tab/>
              <w:t xml:space="preserve">служебной </w:t>
              <w:tab/>
              <w:t>деятельности   служащих, их оценка.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40" w:before="0" w:after="0"/>
              <w:ind w:left="-1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Карта </w:t>
              <w:tab/>
              <w:t xml:space="preserve">итогов </w:t>
              <w:tab/>
              <w:t xml:space="preserve">оценки </w:t>
              <w:tab/>
              <w:t xml:space="preserve">профессиональной служебной </w:t>
              <w:tab/>
              <w:t xml:space="preserve">деятельности </w:t>
              <w:tab/>
              <w:t xml:space="preserve">  служащих в автоматизированной системе.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40" w:before="0" w:after="0"/>
              <w:ind w:left="2" w:right="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Методические рекомендации по принятию кадровых решений по результатам итоговой оценки эффективности и результативности  служебной деятельности г  служащих.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40" w:before="0" w:after="0"/>
              <w:ind w:left="2" w:right="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Процедура </w:t>
              <w:tab/>
              <w:t xml:space="preserve">оценки, </w:t>
              <w:tab/>
              <w:t xml:space="preserve">ее </w:t>
              <w:tab/>
              <w:t xml:space="preserve">организация </w:t>
              <w:tab/>
              <w:t>и осуществление.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40" w:before="0" w:after="0"/>
              <w:ind w:left="2" w:right="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Содержательные характеристики дорожной карты, составляемой с учетом планов подразделений, ее актуализация с учетом изменений шкалы оценки. </w:t>
            </w: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 8.1.1-8.1.11, 8.2.1-8.2.2, 8.3.3-8.3.6, Раздел 9.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обсуждение аналитических материалов, дискуссия</w:t>
            </w:r>
          </w:p>
        </w:tc>
      </w:tr>
      <w:tr>
        <w:trPr>
          <w:trHeight w:val="5725" w:hRule="atLeast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5. Оценка эффективности 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 контрольно-надзорной деятельности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Содержательные аспекты оценки</w:t>
            </w:r>
          </w:p>
          <w:p>
            <w:pPr>
              <w:pStyle w:val="Normal"/>
              <w:widowControl/>
              <w:spacing w:lineRule="auto" w:line="240" w:before="0" w:after="0"/>
              <w:ind w:lef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 и эффективности контрольнонадзорной деятельности.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Особенности базовой модели определения показателей результативности и эффективности контрольно-надзорной деятельности.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Этапы разработки и внедрения системы оценки результативности контрольно-надзорного органа.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Периодичность оценки эффективности и результативности, рекомендуемые веса оценки.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Опыт контрольных органов по внедрению показателей эффективности и результативности деятельности.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Методическое обеспечение формирования индекса качества администрирования контрольно-надзорных функций.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Методические </w:t>
              <w:tab/>
              <w:t xml:space="preserve">рекомендации </w:t>
              <w:tab/>
              <w:t xml:space="preserve">по </w:t>
              <w:tab/>
              <w:t xml:space="preserve">оценке эффективности </w:t>
              <w:tab/>
              <w:t xml:space="preserve">и </w:t>
              <w:tab/>
              <w:t xml:space="preserve">результативности профессиональной </w:t>
              <w:tab/>
              <w:t xml:space="preserve">служебной </w:t>
              <w:tab/>
              <w:t xml:space="preserve">деятельности   </w:t>
              <w:tab/>
              <w:t xml:space="preserve">служащих, реализующих контрольные (надзорные) функции.  </w:t>
            </w: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 8.1.1-8.1.11, 8.2.1-8.2.2, 8.3.3-8.3.6, Раздел 9.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right="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решение тестовых заданий, обсуждение аналитических материалов, дискуссия</w:t>
            </w:r>
          </w:p>
        </w:tc>
      </w:tr>
      <w:tr>
        <w:trPr>
          <w:trHeight w:val="2247" w:hRule="atLeast"/>
        </w:trPr>
        <w:tc>
          <w:tcPr>
            <w:tcW w:w="2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6. Оценка эффективности и</w:t>
            </w:r>
          </w:p>
          <w:p>
            <w:pPr>
              <w:pStyle w:val="Normal"/>
              <w:widowControl/>
              <w:spacing w:lineRule="auto" w:line="240" w:before="0" w:after="0"/>
              <w:ind w:left="0" w:right="4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 проектной деятельности рекламных кампаний</w:t>
            </w:r>
          </w:p>
        </w:tc>
        <w:tc>
          <w:tcPr>
            <w:tcW w:w="5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40" w:before="0" w:after="0"/>
              <w:ind w:left="-1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Содержательные аспекты оценки проектной деятельности органов государственного и муниципального управления.</w:t>
            </w:r>
          </w:p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40" w:before="0" w:after="0"/>
              <w:ind w:left="-1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Анализ уровня зрелости организации проектной деятельности </w:t>
              <w:tab/>
              <w:t>рекламных кампаний Федерации и субъектов Российской Федерации.</w:t>
            </w:r>
          </w:p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40" w:before="0" w:after="0"/>
              <w:ind w:left="-1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Методическое обеспечение оценки проектного управления.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Особенности управления стимулированием участников проектов в целях повышения эффективности и результативности бизнеспроцессов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Содержание рейтинга эффективности проектного управления бизнес-процессов.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40" w:before="0" w:after="0"/>
              <w:ind w:left="-1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Особенности </w:t>
              <w:tab/>
              <w:t xml:space="preserve">оценки </w:t>
              <w:tab/>
              <w:t xml:space="preserve">эффективности </w:t>
              <w:tab/>
              <w:t>и результативности проектных офисов рекламных кампаний.</w:t>
            </w:r>
          </w:p>
          <w:p>
            <w:pPr>
              <w:pStyle w:val="Normal"/>
              <w:widowControl/>
              <w:spacing w:lineRule="auto" w:line="240" w:before="0" w:after="0"/>
              <w:ind w:left="0" w:firstLine="698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 8.1.1-8.1.11, 8.2.1-8.2.2, 8.3.3-8.3.6, Раздел 9.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Опрос, выполнение ситуационных заданий, обсуждение аналитических материалов, дискуссия</w:t>
            </w:r>
          </w:p>
        </w:tc>
      </w:tr>
      <w:tr>
        <w:trPr>
          <w:trHeight w:val="2993" w:hRule="atLeast"/>
        </w:trPr>
        <w:tc>
          <w:tcPr>
            <w:tcW w:w="266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56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eastAsia="ru-RU" w:bidi="ar-SA"/>
              </w:rPr>
            </w:r>
          </w:p>
        </w:tc>
      </w:tr>
    </w:tbl>
    <w:p>
      <w:pPr>
        <w:pStyle w:val="Normal"/>
        <w:numPr>
          <w:ilvl w:val="0"/>
          <w:numId w:val="4"/>
        </w:numPr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учебно-методического обеспечения для самостоятельной работы обучающихся по дисциплине </w:t>
      </w:r>
    </w:p>
    <w:p>
      <w:pPr>
        <w:pStyle w:val="Normal"/>
        <w:numPr>
          <w:ilvl w:val="1"/>
          <w:numId w:val="4"/>
        </w:numPr>
        <w:spacing w:lineRule="auto" w:line="240" w:before="0" w:after="0"/>
        <w:ind w:left="720" w:right="-10" w:firstLine="698"/>
        <w:rPr>
          <w:sz w:val="24"/>
          <w:szCs w:val="24"/>
        </w:rPr>
      </w:pPr>
      <w:r>
        <w:rPr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r>
        <w:rPr>
          <w:sz w:val="24"/>
          <w:szCs w:val="24"/>
        </w:rPr>
        <w:t xml:space="preserve"> </w:t>
      </w:r>
    </w:p>
    <w:tbl>
      <w:tblPr>
        <w:tblStyle w:val="TableGrid"/>
        <w:tblW w:w="10634" w:type="dxa"/>
        <w:jc w:val="left"/>
        <w:tblInd w:w="-569" w:type="dxa"/>
        <w:tblLayout w:type="fixed"/>
        <w:tblCellMar>
          <w:top w:w="50" w:type="dxa"/>
          <w:left w:w="108" w:type="dxa"/>
          <w:bottom w:w="0" w:type="dxa"/>
          <w:right w:w="46" w:type="dxa"/>
        </w:tblCellMar>
        <w:tblLook w:noVBand="1" w:val="04a0" w:noHBand="0" w:lastColumn="0" w:firstColumn="1" w:lastRow="0" w:firstRow="1"/>
      </w:tblPr>
      <w:tblGrid>
        <w:gridCol w:w="3228"/>
        <w:gridCol w:w="3827"/>
        <w:gridCol w:w="3579"/>
      </w:tblGrid>
      <w:tr>
        <w:trPr>
          <w:trHeight w:val="470" w:hRule="atLeast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Формы внеаудиторной самостоятельной работы</w:t>
            </w:r>
          </w:p>
        </w:tc>
      </w:tr>
      <w:tr>
        <w:trPr>
          <w:trHeight w:val="2936" w:hRule="atLeast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1.</w:t>
            </w:r>
          </w:p>
          <w:p>
            <w:pPr>
              <w:pStyle w:val="Normal"/>
              <w:widowControl/>
              <w:spacing w:lineRule="auto" w:line="240" w:before="0" w:after="0"/>
              <w:ind w:left="0" w:right="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Теоретические основы оценки эффективности и результативности рекламных кампаний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40" w:before="0" w:after="0"/>
              <w:ind w:left="-15" w:right="6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Перечень направлений (областей деятельности) оценивания эффективности и результативности рекламных кампаний.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40" w:before="0" w:after="0"/>
              <w:ind w:left="-15" w:right="6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Требования к постановке целей показателей эффективности и результативности рекламных кампаний.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40" w:before="0" w:after="0"/>
              <w:ind w:left="-15" w:right="6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Методика оценки эффективности и результативности, рекламных кампаний.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right="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Работа с научной, учебной и справочной литературой, Интернет-ресурсами.</w:t>
            </w:r>
          </w:p>
          <w:p>
            <w:pPr>
              <w:pStyle w:val="Normal"/>
              <w:widowControl/>
              <w:spacing w:lineRule="auto" w:line="240" w:before="0" w:after="0"/>
              <w:ind w:left="0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тезисов к выступлению на научной конференции.</w:t>
            </w:r>
          </w:p>
          <w:p>
            <w:pPr>
              <w:pStyle w:val="Normal"/>
              <w:widowControl/>
              <w:spacing w:lineRule="auto" w:line="240" w:before="0" w:after="0"/>
              <w:ind w:left="0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Подбор, систематизация, критический анализ и обобщение материала.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к опросу и тестированию по теме занятия.</w:t>
            </w:r>
          </w:p>
        </w:tc>
      </w:tr>
      <w:tr>
        <w:trPr>
          <w:trHeight w:val="4075" w:hRule="atLeast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2.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Общемировые тенденции оценки показателей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 и эффективности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рекламных кампаний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40" w:before="0" w:after="0"/>
              <w:ind w:left="-15" w:right="7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Анализ документов стратегического планирования с учетом показателей эффективности и результативности основных направлений развития европейского государства.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40" w:before="0" w:after="0"/>
              <w:ind w:left="-15" w:right="7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Проблемные аспекты оценки результативности деятельности  служащих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40" w:before="0" w:after="0"/>
              <w:ind w:left="-15" w:right="7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Соотношение глобальных, национальных и региональных показателей (индексов) оценки эффективности и результативности рекламных кампаний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right="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Работа с научной, учебной и справочной литературой, Интернет-ресурсами.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отчета.</w:t>
            </w:r>
          </w:p>
          <w:p>
            <w:pPr>
              <w:pStyle w:val="Normal"/>
              <w:widowControl/>
              <w:spacing w:lineRule="auto" w:line="240" w:before="0" w:after="0"/>
              <w:ind w:left="0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Подбор, систематизация, критический анализ и обобщение материала.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к опросу и тестированию по теме занятия. Подбор, систематизация, критический анализ и обобщение материала.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к опросу и тестированию по теме занятия.</w:t>
            </w:r>
          </w:p>
        </w:tc>
      </w:tr>
      <w:tr>
        <w:trPr>
          <w:trHeight w:val="2494" w:hRule="atLeast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3.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Аналитическое обеспечение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эффективности 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рекламных кампаний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right="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Стратегия социально-экономического развития Российской Федерации как информационная база оценки эффективности и результативности рекламных кампаний.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right="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Работа с научной, учебной и справочной литературой, Интернет-ресурсами.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отчета.</w:t>
            </w:r>
          </w:p>
          <w:p>
            <w:pPr>
              <w:pStyle w:val="Normal"/>
              <w:widowControl/>
              <w:spacing w:lineRule="auto" w:line="240" w:before="0" w:after="0"/>
              <w:ind w:left="0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Подбор, систематизация, критический анализ и обобщение материала.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к опросу и тестированию по теме занятия.</w:t>
            </w:r>
          </w:p>
        </w:tc>
      </w:tr>
      <w:tr>
        <w:trPr>
          <w:trHeight w:val="3322" w:hRule="atLeast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4. Оценка результативности и эффективности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профессиональной деятельности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служащих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3"/>
              </w:numPr>
              <w:spacing w:lineRule="auto" w:line="240" w:before="0" w:after="0"/>
              <w:ind w:left="-15" w:right="6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Интегральная оценка Карты итогов оценки профессиональной служебной деятельности гражданских  служащих в автоматизированной системе.</w:t>
            </w:r>
          </w:p>
          <w:p>
            <w:pPr>
              <w:pStyle w:val="Normal"/>
              <w:widowControl/>
              <w:numPr>
                <w:ilvl w:val="0"/>
                <w:numId w:val="23"/>
              </w:numPr>
              <w:spacing w:lineRule="auto" w:line="240" w:before="0" w:after="0"/>
              <w:ind w:left="-15" w:right="6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Анализ методов и инструментальных средств оценки эффективности и результативности профессиональной служебной деятельности   гражданских служащих.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Работа с научной, учебной и справочной </w:t>
              <w:tab/>
              <w:t>литературой, Интернет-ресурсами.</w:t>
            </w:r>
          </w:p>
          <w:p>
            <w:pPr>
              <w:pStyle w:val="Normal"/>
              <w:widowControl/>
              <w:spacing w:lineRule="auto" w:line="240" w:before="0" w:after="0"/>
              <w:ind w:left="0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тезисов к выступлению на научной конференции.</w:t>
            </w:r>
          </w:p>
        </w:tc>
      </w:tr>
      <w:tr>
        <w:trPr>
          <w:trHeight w:val="3046" w:hRule="atLeast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5. Оценка эффективности 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контрольно-надзорной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4"/>
              </w:numPr>
              <w:spacing w:lineRule="auto" w:line="240" w:before="0" w:after="0"/>
              <w:ind w:left="-15" w:right="6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Проблемы разработки и внедрения показателей оценки эффективности и результативности деятельности органов государственного и муниципального управления, реализующих контрольные и надзорные функции.</w:t>
            </w:r>
          </w:p>
          <w:p>
            <w:pPr>
              <w:pStyle w:val="Normal"/>
              <w:widowControl/>
              <w:numPr>
                <w:ilvl w:val="0"/>
                <w:numId w:val="24"/>
              </w:numPr>
              <w:spacing w:lineRule="auto" w:line="240" w:before="0" w:after="0"/>
              <w:ind w:left="-15" w:right="6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Система оценки эффективности и результативности деятельности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Казначейства компаии.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Подбор, систематизация, критический анализ и обобщение материала.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к опросу и тестированию по теме занятия.</w:t>
            </w:r>
          </w:p>
        </w:tc>
      </w:tr>
      <w:tr>
        <w:trPr>
          <w:trHeight w:val="2218" w:hRule="atLeast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6. Оценка эффективности 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результативности</w:t>
            </w:r>
          </w:p>
          <w:p>
            <w:pPr>
              <w:pStyle w:val="Normal"/>
              <w:widowControl/>
              <w:spacing w:lineRule="auto" w:line="240"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проектной деятельности</w:t>
            </w:r>
          </w:p>
          <w:p>
            <w:pPr>
              <w:pStyle w:val="Normal"/>
              <w:widowControl/>
              <w:spacing w:lineRule="auto" w:line="240" w:before="0" w:after="0"/>
              <w:ind w:left="4" w:hanging="4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рекламных кампаний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40" w:before="0" w:after="0"/>
              <w:ind w:left="-15" w:right="7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Особенности применения стратегического и тактического (проектного) управления в процессе оценки эффективности и результативности рекламных кампаний</w:t>
            </w:r>
          </w:p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40" w:before="0" w:after="0"/>
              <w:ind w:left="-15" w:right="7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Мотивация и управление стимулированием участников проектов в целях повышения эффективности и  результативности  рекламных кампаний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left="0" w:right="2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Подготовка тезисов к выступлению на научной конференции.</w:t>
            </w:r>
          </w:p>
        </w:tc>
      </w:tr>
    </w:tbl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numPr>
          <w:ilvl w:val="1"/>
          <w:numId w:val="4"/>
        </w:numPr>
        <w:spacing w:lineRule="auto" w:line="240" w:before="0" w:after="0"/>
        <w:ind w:left="720" w:right="-10" w:firstLine="698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вопросов, заданий, тем для подготовки к текущему контролю  </w:t>
      </w:r>
      <w:r>
        <w:rPr>
          <w:b/>
          <w:bCs/>
          <w:color w:val="auto"/>
          <w:sz w:val="24"/>
          <w:szCs w:val="24"/>
        </w:rPr>
        <w:t>согласно таблицы 2)</w:t>
      </w:r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2028" w:right="-10" w:hanging="0"/>
        <w:rPr>
          <w:sz w:val="24"/>
          <w:szCs w:val="24"/>
        </w:rPr>
      </w:pPr>
      <w:r>
        <w:rPr>
          <w:b/>
          <w:sz w:val="24"/>
          <w:szCs w:val="24"/>
        </w:rPr>
        <w:t>Примерные вопросы для подготовки к текущему контролю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Содержательные характеристики оценки эффективности и результативности рекламных кампаний.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>Определение перечня направлений</w:t>
      </w:r>
      <w:r>
        <w:rPr>
          <w:b/>
          <w:sz w:val="24"/>
          <w:szCs w:val="24"/>
        </w:rPr>
        <w:t xml:space="preserve"> (</w:t>
      </w:r>
      <w:r>
        <w:rPr>
          <w:sz w:val="24"/>
          <w:szCs w:val="24"/>
        </w:rPr>
        <w:t xml:space="preserve">областей деятельности) оценивания эффективности и результативности рекламных кампаний.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Требования к показателям эффективности и результативности деятельности органов государственного и муниципального управления.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Виды показателей эффективности и результативности деятельности органов   управления компанией.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Оценка фактических значений показателей эффективности и результативности рекламных кампаний.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Определение итоговой оценки эффективности и результативности деятельности органов   управления.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Формирование рейтинга органов государственной (муниципальной) власти по итогам оценки эффективности и результативности их деятельности.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Парадоксы оценки эффективности и результативности рекламных кампаний.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Механизм управления индивидуальной результативностью рекламных кампаний.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Виды оценок результативности и эффективности профессиональной служебной деятельности   служащих.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Разработка и актуализация «дорожной карты» и планов подразделений по оценке эффективности и результативности рекламных кампаний.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Формирование системы целей деятельности рекламных кампаний, достижение которых учитывается при оценке эффективности и результативности рекламных кампаний.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Визуализация итогов оценки эффективности и результативности рекламных кампаний в автоматизированной системе.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Механизм выработки и принятия кадровых решений по результатам итоговой оценки эффективности и результативности профессиональной служебной деятельности   служащих.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Зарубежный опыт разработки систем оценки эффективности и результативности деятельности органов публичной власти, и возможность его применения в Российской Федерации.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Разработка систем оценки эффективности и результативности рекламных кампаний.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Особенности внедрения показателей эффективности и результативности рекламных кампаний, реализующих контрольные (надзорные) функции.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Опыт </w:t>
        <w:tab/>
        <w:t xml:space="preserve">внедрения </w:t>
        <w:tab/>
        <w:t xml:space="preserve">показателей </w:t>
        <w:tab/>
        <w:t xml:space="preserve">результативности </w:t>
        <w:tab/>
        <w:t xml:space="preserve">деятельности   служащих и работников 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Показатели эффективности и результативности деятельности органов публичного управления в международной практике (на примере органа власти конкретной страны).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Критический анализ зарубежной системы оценки эффективности и результативности рекламных кампаний.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Методическое обеспечение оценки эффективности проектного управления.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Направления оценки уровня зрелости организации проектной деятельности в рекламных кампаний.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Управление стимулированием участников проектов в целях повышения эффективности и результативности деятельности органов власти.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Рейтинг эффективности проектного управления в органах власти.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Оценка деятельности проектных офисов в органах власти, оказывающих необходимые услуги по обеспечению эффективного управления реализацией проектов, программ и портфелей.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Основные методики мониторинга качества  администрирования и интегральные показатели, отражающие качество государственного управления </w:t>
      </w:r>
      <w:r>
        <w:rPr>
          <w:color w:val="222222"/>
          <w:sz w:val="24"/>
          <w:szCs w:val="24"/>
        </w:rPr>
        <w:t>и последствия реализации   программ в России и за рубежом.</w:t>
      </w:r>
      <w:r>
        <w:rPr>
          <w:sz w:val="24"/>
          <w:szCs w:val="24"/>
        </w:rPr>
        <w:t xml:space="preserve">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Основные проблемы внедрения показателей результативности  рекламных кампаний, направления решения.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Проблема балансировки и взаимоувязки показателей эффективности и результативности рекламных кампаний, направления решения. 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-15" w:firstLine="697"/>
        <w:rPr>
          <w:sz w:val="24"/>
          <w:szCs w:val="24"/>
        </w:rPr>
      </w:pPr>
      <w:r>
        <w:rPr>
          <w:sz w:val="24"/>
          <w:szCs w:val="24"/>
        </w:rPr>
        <w:t xml:space="preserve">Создание и функционирование системы мониторинга показателей эффективности и результативности  рекламных кампаний.  </w:t>
      </w:r>
    </w:p>
    <w:p>
      <w:pPr>
        <w:pStyle w:val="Normal"/>
        <w:spacing w:lineRule="auto" w:line="240" w:before="0" w:after="0"/>
        <w:ind w:left="698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698" w:hanging="0"/>
        <w:rPr>
          <w:sz w:val="24"/>
          <w:szCs w:val="24"/>
        </w:rPr>
      </w:pPr>
      <w:r>
        <w:rPr>
          <w:sz w:val="24"/>
          <w:szCs w:val="24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 . </w:t>
      </w:r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>
        <w:rPr>
          <w:b/>
          <w:bCs/>
          <w:color w:val="auto"/>
          <w:sz w:val="24"/>
          <w:szCs w:val="24"/>
        </w:rPr>
        <w:t>Перечень примерных вопросов</w:t>
      </w:r>
      <w:r>
        <w:rPr>
          <w:color w:val="auto"/>
          <w:sz w:val="24"/>
          <w:szCs w:val="24"/>
        </w:rPr>
        <w:t xml:space="preserve"> </w:t>
      </w:r>
      <w:r>
        <w:rPr>
          <w:b/>
          <w:bCs/>
          <w:color w:val="auto"/>
          <w:sz w:val="24"/>
          <w:szCs w:val="24"/>
        </w:rPr>
        <w:t>для проведения промежуточной аттестации обучающихся по дисциплине</w:t>
      </w:r>
      <w:r>
        <w:rPr>
          <w:b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ind w:left="0" w:firstLine="709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Перечень компетенций, формируемых в процессе освоения дисциплины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  <w:bookmarkStart w:id="2" w:name="_TOC_250001"/>
    </w:p>
    <w:p>
      <w:pPr>
        <w:pStyle w:val="Normal"/>
        <w:widowControl w:val="false"/>
        <w:numPr>
          <w:ilvl w:val="2"/>
          <w:numId w:val="28"/>
        </w:numPr>
        <w:tabs>
          <w:tab w:val="clear" w:pos="708"/>
          <w:tab w:val="left" w:pos="1444" w:leader="none"/>
          <w:tab w:val="left" w:pos="2629" w:leader="none"/>
        </w:tabs>
        <w:spacing w:lineRule="auto" w:line="240" w:before="0" w:after="0"/>
        <w:ind w:left="-15" w:right="683" w:firstLine="698"/>
        <w:jc w:val="left"/>
        <w:outlineLvl w:val="1"/>
        <w:rPr>
          <w:b/>
          <w:b/>
          <w:bCs/>
          <w:color w:val="auto"/>
          <w:sz w:val="24"/>
          <w:szCs w:val="24"/>
          <w:lang w:eastAsia="en-US"/>
        </w:rPr>
      </w:pPr>
      <w:r>
        <w:rPr>
          <w:b/>
          <w:bCs/>
          <w:color w:val="auto"/>
          <w:sz w:val="24"/>
          <w:szCs w:val="24"/>
          <w:lang w:eastAsia="en-US"/>
        </w:rPr>
      </w:r>
    </w:p>
    <w:p>
      <w:pPr>
        <w:pStyle w:val="Normal"/>
        <w:widowControl w:val="false"/>
        <w:numPr>
          <w:ilvl w:val="2"/>
          <w:numId w:val="28"/>
        </w:numPr>
        <w:tabs>
          <w:tab w:val="clear" w:pos="708"/>
          <w:tab w:val="left" w:pos="1444" w:leader="none"/>
          <w:tab w:val="left" w:pos="2629" w:leader="none"/>
        </w:tabs>
        <w:spacing w:lineRule="auto" w:line="240" w:before="0" w:after="0"/>
        <w:ind w:left="10" w:right="-15" w:hanging="10"/>
        <w:jc w:val="center"/>
        <w:outlineLvl w:val="1"/>
        <w:rPr>
          <w:sz w:val="24"/>
          <w:szCs w:val="24"/>
        </w:rPr>
      </w:pPr>
      <w:r>
        <w:rPr>
          <w:b/>
          <w:bCs/>
          <w:color w:val="auto"/>
          <w:sz w:val="24"/>
          <w:szCs w:val="24"/>
          <w:lang w:eastAsia="en-US"/>
        </w:rPr>
        <w:t xml:space="preserve">Перечень примерных вопросов </w:t>
      </w:r>
      <w:bookmarkEnd w:id="2"/>
      <w:r>
        <w:rPr>
          <w:b/>
          <w:sz w:val="24"/>
          <w:szCs w:val="24"/>
        </w:rPr>
        <w:t>для подготовки к зачету</w:t>
      </w:r>
      <w:r>
        <w:rPr>
          <w:i/>
          <w:sz w:val="24"/>
          <w:szCs w:val="24"/>
        </w:rPr>
        <w:t xml:space="preserve">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Эффективность и результативность управленческой деятельности с точки зрения отечественных ученых.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Содержание методологии оценки эффективности и результативности рекламных кампаний.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Требования к постановке целей/показателей эффективности и результативности рекламных кампаний.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Определение перечня направлений</w:t>
      </w:r>
      <w:r>
        <w:rPr>
          <w:b/>
          <w:sz w:val="24"/>
          <w:szCs w:val="24"/>
        </w:rPr>
        <w:t xml:space="preserve"> (</w:t>
      </w:r>
      <w:r>
        <w:rPr>
          <w:sz w:val="24"/>
          <w:szCs w:val="24"/>
        </w:rPr>
        <w:t xml:space="preserve">областей деятельности) оценивания эффективности и результативности рекламных кампаний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Выбор конкретных показателей для каждого направления </w:t>
      </w:r>
      <w:r>
        <w:rPr>
          <w:b/>
          <w:sz w:val="24"/>
          <w:szCs w:val="24"/>
        </w:rPr>
        <w:t>(</w:t>
      </w:r>
      <w:r>
        <w:rPr>
          <w:sz w:val="24"/>
          <w:szCs w:val="24"/>
        </w:rPr>
        <w:t xml:space="preserve">области деятельности) оценивания эффективности рекламных кампаний. 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Виды показателей результативности деятельности органов  управления.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Оценка фактических значений показателей эффективности и результативности рекламных кампаний.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Определение итоговой оценки эффективности и результативности рекламных кампаний. 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Определение необходимости использования коэффициентов значимости показателей (и/ или направлений оценивания) эффективности и результативности рекламных кампаний.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Парадоксы оценки эффективности и результативности  рекламных кампаний.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Составляющие и механизм управления индивидуальной результативностью  гражданских служащих.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Положения законодательства РФ о государственной службе в сфере оценки эффективности и результативности деятельности государственных органов власти и государственных гражданских служащих, регламентирующие цели и технологии оценки.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Методические основы оценки результативности и эффективности результативности рекламных кампаний.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Подготовка и проведение очередной оценки эффективности рекламных кампаний.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Этапы формирования системы целей рекламных кампаний и профессиональной служебной деятельности гражданского служащего.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Проверка корректности постановки показателей результативности и эффективности рекламных кампаний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Процесс </w:t>
        <w:tab/>
        <w:t xml:space="preserve">разработки </w:t>
        <w:tab/>
        <w:t xml:space="preserve">систем </w:t>
        <w:tab/>
        <w:t xml:space="preserve">оценки </w:t>
        <w:tab/>
        <w:t xml:space="preserve">эффективности </w:t>
        <w:tab/>
        <w:t xml:space="preserve">и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результативности деятельности органов государственного и муниципального управления и государственных гражданских служащих.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Визуализации итогов оценки эффективности и результативности эффективности и результативности рекламных кампаний и профессиональной служебной деятельности  служащих в автоматизированной системе.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Рекомендации по принятию кадровых решений по результатам итоговой оценки эффективности и результативности профессиональной служебной деятельности   служащих.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Формирование рейтинга гражданских служащих по итогам оценки эффективности и результативности профессиональной служебной деятельности  гражданских служащих и определение размера материального стимулирования   служащих.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Критика зарубежной системы оценки эффективности и результативности рекламных кампаний.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Методы и инструментальные средства оценки эффективности проектного управления. 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Направления оценки уровня зрелости организации проектной деятельности  рекламных кампаний . 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Развитие компетенций и культуры эффективности проектного управления. </w:t>
      </w:r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0" w:firstLine="709"/>
        <w:contextualSpacing/>
        <w:jc w:val="left"/>
        <w:rPr>
          <w:sz w:val="24"/>
          <w:szCs w:val="24"/>
        </w:rPr>
      </w:pPr>
      <w:r>
        <w:rPr>
          <w:bCs/>
          <w:color w:val="auto"/>
          <w:sz w:val="24"/>
          <w:szCs w:val="24"/>
        </w:rPr>
        <w:t>Фонды оценочных средств для проверки каждой компетенции, формируемой дисциплиной представлены в Приложении 1.</w:t>
      </w:r>
      <w:r>
        <w:rPr>
          <w:b/>
          <w:sz w:val="24"/>
          <w:szCs w:val="24"/>
        </w:rPr>
        <w:t xml:space="preserve">  </w:t>
      </w:r>
    </w:p>
    <w:p>
      <w:pPr>
        <w:pStyle w:val="Normal"/>
        <w:spacing w:lineRule="auto" w:line="240" w:before="0" w:after="0"/>
        <w:ind w:left="0" w:right="-5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-15" w:right="-10" w:firstLine="698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основной и дополнительной учебной литературы, необходимой для освоения дисциплины </w:t>
      </w:r>
    </w:p>
    <w:p>
      <w:pPr>
        <w:pStyle w:val="Normal"/>
        <w:spacing w:lineRule="auto" w:line="240" w:before="0" w:after="0"/>
        <w:ind w:left="708" w:right="-1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08" w:right="-10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Нормативные правовые акты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Указ Президента Российской Федерации от 15.08.2001 «Концепция реформирования системы государственной службы Российской Федерации». 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Указ Президента Российской Федерации</w:t>
      </w:r>
      <w:r>
        <w:rPr>
          <w:color w:val="1D1D1D"/>
          <w:sz w:val="24"/>
          <w:szCs w:val="24"/>
        </w:rPr>
        <w:t xml:space="preserve"> от 01.04.2016 №147              «О Национальном плане противодействия коррупции на 2016–2017 годы». </w:t>
      </w:r>
      <w:r>
        <w:rPr>
          <w:sz w:val="24"/>
          <w:szCs w:val="24"/>
        </w:rPr>
        <w:t xml:space="preserve">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Указ Президента Российской Федерации от 01.02.2005 №110             «О проведении аттестации государственных гражданских служащих Российской Федерации». 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. Указ Президента Российской Федерации от 09.03.2004 №314             «О системе и структуре федеральных органов исполнительной власти».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Указ Президента Российской Федерации от 28.06.2007 №825 «Об оценке эффективности деятельности органов исполнительной власти субъектов Российской Федерации». 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Указ Президента Российской Федерации от 28.04.2008 №607 «Об оценке эффективности деятельности органов местного самоуправления городских округов и муниципальных районов».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Российской Федерации от 17.12.2012 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>№</w:t>
      </w:r>
      <w:r>
        <w:rPr>
          <w:sz w:val="24"/>
          <w:szCs w:val="24"/>
        </w:rPr>
        <w:t xml:space="preserve">1317 «О мерах по реализации Указа Президента Российской Федерации от 28.04.2008 </w:t>
      </w:r>
      <w:hyperlink r:id="rId2">
        <w:r>
          <w:rPr>
            <w:color w:val="0000FF"/>
            <w:sz w:val="24"/>
            <w:szCs w:val="24"/>
            <w:u w:val="single" w:color="0000FF"/>
          </w:rPr>
          <w:t>№607</w:t>
        </w:r>
      </w:hyperlink>
      <w:hyperlink r:id="rId3">
        <w:r>
          <w:rPr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 xml:space="preserve">«Об оценке эффективности деятельности органов местного самоуправления городских округов и муниципальных районов» и подпункта «и» пункта 2 Указа Президента Российской Федерации от 07.05.2012 </w:t>
      </w:r>
      <w:hyperlink r:id="rId4">
        <w:r>
          <w:rPr>
            <w:color w:val="0000FF"/>
            <w:sz w:val="24"/>
            <w:szCs w:val="24"/>
            <w:u w:val="single" w:color="0000FF"/>
          </w:rPr>
          <w:t>№601</w:t>
        </w:r>
      </w:hyperlink>
      <w:hyperlink r:id="rId5">
        <w:r>
          <w:rPr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 xml:space="preserve">«Об основных направлениях совершенствования системы государственного управления». 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Распоряжение Правительства РФ от 10.04.2014 № 570-р «О перечнях показателей </w:t>
        <w:tab/>
        <w:t xml:space="preserve">для </w:t>
        <w:tab/>
        <w:t xml:space="preserve">оценки </w:t>
        <w:tab/>
        <w:t xml:space="preserve">эффективности </w:t>
        <w:tab/>
        <w:t xml:space="preserve">деятельности </w:t>
        <w:tab/>
        <w:t xml:space="preserve">руководителей федеральных органов исполнительной власти и высших должностных лиц (руководителей высших исполнительных органов государственной власти) субъектов Российской Федерации по созданию благоприятных условий ведения предпринимательской деятельности (до 2018 года) и методиках определения целевых значений показателей оценки эффективности их деятельности» 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Министерство труда и социальной защиты Российской Федерации. Методический инструментарий по внедрению системы комплексной оценки профессиональной служебной деятельности государственных гражданских служащих (включая общественную оценку). 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Министерство труда и социальной защиты Российской Федерации. Методика оценки эффективности и результативности профессиональной служебной деятельности государственных гражданских служащих, реализующих контрольные (надзорные) функции.  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Приказ Министерства экономического развития Российской Федерации от 03.07.2015 №435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отделений)».  </w:t>
      </w:r>
    </w:p>
    <w:p>
      <w:pPr>
        <w:pStyle w:val="Normal"/>
        <w:spacing w:lineRule="auto" w:line="240" w:before="0" w:after="0"/>
        <w:ind w:left="708" w:right="-10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Основная литература 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Армстронг, М. Управление результативностью: Система оценки результатов в действии: пер. с англ. / Майкл Армстронг, Анжела Бэрон. — Москва: Альпина Паблишер, 2012. - ЭБС Alpina Digital. - URL: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https://finunivers.alpinadigital.ru/book/442 (дата обращения: 10.01.2022). — Текст : электронный. 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Гайнанов, Д.А. Теория и механизмы современного государственного управления: учебное пособие для студ. вузов, обуч. по напр. "Государственное и муниципальное управление" (квалиф. "магистр") / Д.А. Гайнанов, А.Г. Атаева, И.Д. Закиров. - Москва: Инфра-М, 2015. - 288 с. – Текст : непосредственный. -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(Высшее образование: Магистратура). - То же. - 2020. - ЭБС ZNANIUM.com. -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URL: http://znanium.com/catalog/product/1039049 (дата обращения: 13.01.2022). –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Текст : электронный. </w:t>
      </w:r>
    </w:p>
    <w:p>
      <w:pPr>
        <w:pStyle w:val="Normal"/>
        <w:spacing w:lineRule="auto" w:line="240" w:before="0" w:after="0"/>
        <w:ind w:left="708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679" w:right="-10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Дополнительная литература 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Охотский, Е. В.  Теория и механизмы современного государственного управления в 2 ч. Часть 2 : учебник и практикум для вузов / Е. В. Охотский. — 3е изд., перераб. и доп. — Москва : Издательство Юрайт, 2022. — 299 с. — (Высшее образование). —  Образовательная платформа Юрайт [сайт]. — URL: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https://urait.ru/bcode/490619 (дата обращения: 13.01.2022). — Текст : электронный. 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Внедрение эффективных технологий и современных методов кадровой работы: монография / А.М. Беляев [и др.]; Финуниверситет, Каф."Государственная служба" ; под ред. А.М. Беляева. - Москва: Финуниверситет, 2012. - 160 с. -  Текст: непосредственный. - То же. - ЭБ Финуниверситета. - URL: http://elib.fa.ru/rbook/belyaev_46769.pdf. (дата обращения: 13.01.2022). - Текст: электронный. 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Государственная служба: организация управленческой деятельности: учебное пособие для направлений бакалавриата "Государственное и муниципальное управление" и "Политология" / В.И. Анненков, Н.Н. Барчан, А.В. Моисеев, Б.И. Киселев . - Москва: Кнорус, 2019. - 253 с. - Текст : непосредственный. – То же. – 2021. - ЭБС BOOK.ru. – URL: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https://book.ru/book/937041 (дата обращения: 14.01.2022). – Текст : электронный. 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Знаменский, Д. Ю.  Государственная и муниципальная служба : учебник для вузов / Д. Ю. Знаменский ; ответственный редактор Н. А. Омельченко. — 4-е изд., перераб. и доп. — Москва : Издательство Юрайт, 2022. — 405 с. — (Высшее образование). — Образовательная платформа Юрайт [сайт]. — URL: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https://urait.ru/bcode/488981 (дата обращения: 14.01.2022). — Текст : электронный. </w:t>
      </w:r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Периодические </w:t>
        <w:tab/>
        <w:t>издания</w:t>
      </w:r>
      <w:r>
        <w:rPr>
          <w:sz w:val="24"/>
          <w:szCs w:val="24"/>
        </w:rPr>
        <w:t xml:space="preserve">: </w:t>
        <w:tab/>
        <w:t xml:space="preserve">«Российское </w:t>
        <w:tab/>
        <w:t xml:space="preserve">предпринимательство», </w:t>
      </w:r>
    </w:p>
    <w:p>
      <w:pPr>
        <w:pStyle w:val="Normal"/>
        <w:spacing w:lineRule="auto" w:line="240" w:before="0" w:after="0"/>
        <w:ind w:left="-15" w:hanging="0"/>
        <w:rPr>
          <w:sz w:val="24"/>
          <w:szCs w:val="24"/>
        </w:rPr>
      </w:pPr>
      <w:r>
        <w:rPr>
          <w:sz w:val="24"/>
          <w:szCs w:val="24"/>
        </w:rPr>
        <w:t xml:space="preserve">«Экономика и предпринимательство». </w:t>
      </w:r>
    </w:p>
    <w:p>
      <w:pPr>
        <w:pStyle w:val="Normal"/>
        <w:spacing w:lineRule="auto" w:line="240" w:before="0" w:after="0"/>
        <w:ind w:left="708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708"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9. Перечень ресурсов информационно-телекоммуникационной сети </w:t>
      </w:r>
    </w:p>
    <w:p>
      <w:pPr>
        <w:pStyle w:val="Normal"/>
        <w:spacing w:lineRule="auto" w:line="240" w:before="0" w:after="0"/>
        <w:ind w:left="-15" w:right="-1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«Интернет», необходимых для освоения дисциплины </w:t>
      </w:r>
    </w:p>
    <w:p>
      <w:pPr>
        <w:pStyle w:val="Normal"/>
        <w:spacing w:lineRule="auto" w:line="240" w:before="0" w:after="0"/>
        <w:ind w:left="-15" w:right="-1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rPr>
          <w:sz w:val="24"/>
          <w:szCs w:val="24"/>
        </w:rPr>
      </w:pPr>
      <w:r>
        <w:rPr>
          <w:color w:val="auto"/>
          <w:sz w:val="24"/>
          <w:szCs w:val="24"/>
        </w:rPr>
        <w:t>Электронная библиотека Финансового университета (ЭБ) –http://el.fa.ru/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Электронно-библиотечная система BOOK.RU –http://www.book.ru3. 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Электронно-библиотечная система –Znanium </w:t>
      </w:r>
      <w:hyperlink r:id="rId6">
        <w:r>
          <w:rPr>
            <w:color w:val="0066CC"/>
            <w:sz w:val="24"/>
            <w:szCs w:val="24"/>
            <w:u w:val="single"/>
          </w:rPr>
          <w:t>http://www.znanium.com</w:t>
        </w:r>
      </w:hyperlink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Интернет сайт Министерства финансов Российской Федерации www.minfin.ru. 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Интернет сайт Министерства экономического развития Российской Федерации </w:t>
      </w:r>
      <w:hyperlink r:id="rId7">
        <w:r>
          <w:rPr>
            <w:color w:val="0066CC"/>
            <w:sz w:val="24"/>
            <w:szCs w:val="24"/>
            <w:u w:val="single"/>
          </w:rPr>
          <w:t>www.economy.gov.ru</w:t>
        </w:r>
      </w:hyperlink>
      <w:r>
        <w:rPr>
          <w:color w:val="auto"/>
          <w:sz w:val="24"/>
          <w:szCs w:val="24"/>
        </w:rPr>
        <w:t>.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Интернет сайт Рейтингового агентства «Эксперт» </w:t>
      </w:r>
      <w:hyperlink r:id="rId8">
        <w:r>
          <w:rPr>
            <w:color w:val="0066CC"/>
            <w:sz w:val="24"/>
            <w:szCs w:val="24"/>
            <w:u w:val="single"/>
          </w:rPr>
          <w:t>www.raexpert.ru</w:t>
        </w:r>
      </w:hyperlink>
      <w:r>
        <w:rPr>
          <w:color w:val="auto"/>
          <w:sz w:val="24"/>
          <w:szCs w:val="24"/>
        </w:rPr>
        <w:t xml:space="preserve">. 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www.data.gov.ru – Портал открытые данные России </w:t>
      </w:r>
    </w:p>
    <w:p>
      <w:pPr>
        <w:pStyle w:val="Normal"/>
        <w:numPr>
          <w:ilvl w:val="0"/>
          <w:numId w:val="10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Электронная </w:t>
        <w:tab/>
        <w:t xml:space="preserve">библиотека </w:t>
        <w:tab/>
        <w:t xml:space="preserve">Финансового </w:t>
        <w:tab/>
        <w:t xml:space="preserve">университета </w:t>
        <w:tab/>
        <w:t xml:space="preserve">(ЭБ) </w:t>
      </w:r>
    </w:p>
    <w:p>
      <w:pPr>
        <w:pStyle w:val="Normal"/>
        <w:spacing w:lineRule="auto" w:line="240" w:before="0" w:after="0"/>
        <w:ind w:left="-5" w:right="-15" w:hanging="10"/>
        <w:jc w:val="left"/>
        <w:rPr>
          <w:sz w:val="24"/>
          <w:szCs w:val="24"/>
        </w:rPr>
      </w:pPr>
      <w:hyperlink r:id="rId9">
        <w:r>
          <w:rPr>
            <w:color w:val="0000FF"/>
            <w:sz w:val="24"/>
            <w:szCs w:val="24"/>
            <w:u w:val="single" w:color="0000FF"/>
          </w:rPr>
          <w:t>http://elib.fa.ru/</w:t>
        </w:r>
      </w:hyperlink>
      <w:hyperlink r:id="rId10">
        <w:r>
          <w:rPr>
            <w:sz w:val="24"/>
            <w:szCs w:val="24"/>
          </w:rPr>
          <w:t xml:space="preserve"> </w:t>
        </w:r>
      </w:hyperlink>
    </w:p>
    <w:p>
      <w:pPr>
        <w:pStyle w:val="Normal"/>
        <w:numPr>
          <w:ilvl w:val="0"/>
          <w:numId w:val="10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Электронно-библиотечная система BOOK.RU</w:t>
      </w:r>
      <w:hyperlink r:id="rId11">
        <w:r>
          <w:rPr>
            <w:sz w:val="24"/>
            <w:szCs w:val="24"/>
          </w:rPr>
          <w:t xml:space="preserve"> </w:t>
        </w:r>
      </w:hyperlink>
      <w:hyperlink r:id="rId12">
        <w:r>
          <w:rPr>
            <w:color w:val="0000FF"/>
            <w:sz w:val="24"/>
            <w:szCs w:val="24"/>
            <w:u w:val="single" w:color="0000FF"/>
          </w:rPr>
          <w:t>http://www.book.ru</w:t>
        </w:r>
      </w:hyperlink>
      <w:hyperlink r:id="rId13">
        <w:r>
          <w:rPr>
            <w:sz w:val="24"/>
            <w:szCs w:val="24"/>
          </w:rPr>
          <w:t xml:space="preserve"> </w:t>
        </w:r>
      </w:hyperlink>
    </w:p>
    <w:p>
      <w:pPr>
        <w:pStyle w:val="Normal"/>
        <w:numPr>
          <w:ilvl w:val="0"/>
          <w:numId w:val="10"/>
        </w:numPr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Электронно-библиотечная </w:t>
        <w:tab/>
        <w:t xml:space="preserve">система </w:t>
        <w:tab/>
        <w:t xml:space="preserve">издательства </w:t>
        <w:tab/>
        <w:t xml:space="preserve">«ЮРАЙТ» </w:t>
      </w:r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Cs w:val="24"/>
        </w:rPr>
      </w:pPr>
      <w:hyperlink r:id="rId14">
        <w:r>
          <w:rPr>
            <w:sz w:val="24"/>
            <w:szCs w:val="24"/>
            <w:u w:val="single" w:color="000000"/>
          </w:rPr>
          <w:t>https://urait.ru/</w:t>
        </w:r>
      </w:hyperlink>
      <w:hyperlink r:id="rId15">
        <w:r>
          <w:rPr>
            <w:sz w:val="24"/>
            <w:szCs w:val="24"/>
          </w:rPr>
          <w:t xml:space="preserve"> </w:t>
        </w:r>
      </w:hyperlink>
    </w:p>
    <w:p>
      <w:pPr>
        <w:pStyle w:val="Normal"/>
        <w:numPr>
          <w:ilvl w:val="0"/>
          <w:numId w:val="10"/>
        </w:numPr>
        <w:spacing w:lineRule="auto" w:line="240" w:before="0" w:after="0"/>
        <w:ind w:left="1418" w:hanging="0"/>
        <w:jc w:val="left"/>
        <w:rPr>
          <w:sz w:val="24"/>
          <w:szCs w:val="24"/>
        </w:rPr>
      </w:pPr>
      <w:r>
        <w:rPr>
          <w:sz w:val="24"/>
          <w:szCs w:val="24"/>
        </w:rPr>
        <w:t>Деловая онлайн-библиотека Alpina Digital</w:t>
      </w:r>
      <w:hyperlink r:id="rId16">
        <w:r>
          <w:rPr>
            <w:sz w:val="24"/>
            <w:szCs w:val="24"/>
          </w:rPr>
          <w:t xml:space="preserve"> </w:t>
        </w:r>
      </w:hyperlink>
      <w:hyperlink r:id="rId17">
        <w:r>
          <w:rPr>
            <w:sz w:val="24"/>
            <w:szCs w:val="24"/>
            <w:u w:val="single" w:color="000000"/>
          </w:rPr>
          <w:t>http://lib.alpinadigital.ru/</w:t>
        </w:r>
      </w:hyperlink>
      <w:hyperlink r:id="rId18">
        <w:r>
          <w:rPr>
            <w:color w:val="0000FF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708" w:hanging="0"/>
        <w:jc w:val="left"/>
        <w:rPr>
          <w:sz w:val="24"/>
          <w:szCs w:val="24"/>
        </w:rPr>
      </w:pPr>
      <w:r>
        <w:rPr>
          <w:color w:val="0000FF"/>
          <w:sz w:val="24"/>
          <w:szCs w:val="24"/>
        </w:rPr>
        <w:t xml:space="preserve"> 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-15" w:right="-10" w:firstLine="698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Методические указания для обучающихся по освоению дисциплины </w:t>
      </w:r>
    </w:p>
    <w:p>
      <w:pPr>
        <w:pStyle w:val="Normal"/>
        <w:spacing w:lineRule="auto" w:line="240" w:before="0" w:after="0"/>
        <w:ind w:left="10" w:right="-15" w:hanging="1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Основными видами самостоятельной учебной деятельности обучающихся по освоению дисциплины являются:</w:t>
      </w:r>
    </w:p>
    <w:p>
      <w:pPr>
        <w:pStyle w:val="Normal"/>
        <w:widowControl w:val="false"/>
        <w:numPr>
          <w:ilvl w:val="0"/>
          <w:numId w:val="29"/>
        </w:numPr>
        <w:tabs>
          <w:tab w:val="clear" w:pos="708"/>
          <w:tab w:val="left" w:pos="851" w:leader="none"/>
        </w:tabs>
        <w:spacing w:lineRule="auto" w:line="240" w:before="0" w:after="0"/>
        <w:ind w:left="0" w:firstLine="42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Предварительная подготовка к аудиторным занятиям (лекциям, семинарам, практическим занятиям). Такая подготовка предполагает изучение учебной программы дисциплины,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внимание, подготовку сообщений и докладов по темам семинаров учебной дисциплины;</w:t>
      </w:r>
    </w:p>
    <w:p>
      <w:pPr>
        <w:pStyle w:val="Normal"/>
        <w:widowControl w:val="false"/>
        <w:numPr>
          <w:ilvl w:val="0"/>
          <w:numId w:val="29"/>
        </w:numPr>
        <w:tabs>
          <w:tab w:val="clear" w:pos="708"/>
          <w:tab w:val="left" w:pos="851" w:leader="none"/>
        </w:tabs>
        <w:spacing w:lineRule="auto" w:line="240" w:before="0" w:after="0"/>
        <w:ind w:left="0" w:firstLine="42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Самостоятельная работа при прослушивании лекций, осмысление учебной информации, сообщаемой преподавателем, ее обобщение и краткая запись, а также своевременная доработка конспектов лекций;</w:t>
      </w:r>
    </w:p>
    <w:p>
      <w:pPr>
        <w:pStyle w:val="Normal"/>
        <w:widowControl w:val="false"/>
        <w:numPr>
          <w:ilvl w:val="0"/>
          <w:numId w:val="29"/>
        </w:numPr>
        <w:tabs>
          <w:tab w:val="clear" w:pos="708"/>
          <w:tab w:val="left" w:pos="851" w:leader="none"/>
        </w:tabs>
        <w:spacing w:lineRule="auto" w:line="240" w:before="0" w:after="0"/>
        <w:ind w:left="0" w:firstLine="42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Подбор, изучение, анализ рекомендованных информационных источников по темам учебной дисциплины;</w:t>
      </w:r>
    </w:p>
    <w:p>
      <w:pPr>
        <w:pStyle w:val="Normal"/>
        <w:widowControl w:val="false"/>
        <w:numPr>
          <w:ilvl w:val="0"/>
          <w:numId w:val="29"/>
        </w:numPr>
        <w:tabs>
          <w:tab w:val="clear" w:pos="708"/>
          <w:tab w:val="left" w:pos="851" w:leader="none"/>
        </w:tabs>
        <w:spacing w:lineRule="auto" w:line="240" w:before="0" w:after="0"/>
        <w:ind w:left="0" w:firstLine="42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Выяснение наиболее сложных вопросов и их уточнение во время консультаций;</w:t>
      </w:r>
    </w:p>
    <w:p>
      <w:pPr>
        <w:pStyle w:val="Normal"/>
        <w:widowControl w:val="false"/>
        <w:numPr>
          <w:ilvl w:val="0"/>
          <w:numId w:val="29"/>
        </w:numPr>
        <w:tabs>
          <w:tab w:val="clear" w:pos="708"/>
          <w:tab w:val="left" w:pos="851" w:leader="none"/>
        </w:tabs>
        <w:spacing w:lineRule="auto" w:line="240" w:before="0" w:after="0"/>
        <w:ind w:left="0" w:firstLine="42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Написание эссе, при этом необходимо использовать при подготовке работы нормативные документы Финансового университете;</w:t>
      </w:r>
    </w:p>
    <w:p>
      <w:pPr>
        <w:pStyle w:val="Normal"/>
        <w:widowControl w:val="false"/>
        <w:numPr>
          <w:ilvl w:val="0"/>
          <w:numId w:val="29"/>
        </w:numPr>
        <w:tabs>
          <w:tab w:val="clear" w:pos="708"/>
          <w:tab w:val="left" w:pos="851" w:leader="none"/>
        </w:tabs>
        <w:spacing w:lineRule="auto" w:line="240" w:before="0" w:after="0"/>
        <w:ind w:left="0" w:firstLine="42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Подготовка к зачету.</w:t>
      </w:r>
    </w:p>
    <w:p>
      <w:pPr>
        <w:pStyle w:val="Normal"/>
        <w:widowControl w:val="false"/>
        <w:numPr>
          <w:ilvl w:val="0"/>
          <w:numId w:val="29"/>
        </w:numPr>
        <w:tabs>
          <w:tab w:val="clear" w:pos="708"/>
          <w:tab w:val="left" w:pos="851" w:leader="none"/>
        </w:tabs>
        <w:spacing w:lineRule="auto" w:line="240" w:before="0" w:after="0"/>
        <w:ind w:left="0" w:firstLine="42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Выполнение собственных научных исследований, участие в научных исследованиях, проводимых в масштабе кафедры, филиала или университета;</w:t>
      </w:r>
    </w:p>
    <w:p>
      <w:pPr>
        <w:pStyle w:val="Normal"/>
        <w:widowControl w:val="false"/>
        <w:numPr>
          <w:ilvl w:val="0"/>
          <w:numId w:val="29"/>
        </w:numPr>
        <w:tabs>
          <w:tab w:val="clear" w:pos="708"/>
          <w:tab w:val="left" w:pos="851" w:leader="none"/>
        </w:tabs>
        <w:spacing w:lineRule="auto" w:line="240" w:before="0" w:after="0"/>
        <w:ind w:left="0" w:firstLine="42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Систематическое изучение периодической печати, научных монографий, поиск и анализ дополнительной информации по учебной дисциплине.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 xml:space="preserve"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</w:t>
      </w:r>
    </w:p>
    <w:p>
      <w:pPr>
        <w:pStyle w:val="Normal"/>
        <w:spacing w:lineRule="auto" w:line="240" w:before="0" w:after="64"/>
        <w:ind w:left="708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numPr>
          <w:ilvl w:val="0"/>
          <w:numId w:val="11"/>
        </w:numPr>
        <w:spacing w:lineRule="auto" w:line="235" w:before="0" w:after="45"/>
        <w:ind w:left="-15" w:right="-10" w:firstLine="698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 </w:t>
      </w:r>
    </w:p>
    <w:p>
      <w:pPr>
        <w:pStyle w:val="Normal"/>
        <w:spacing w:lineRule="auto" w:line="240" w:before="0" w:after="194"/>
        <w:ind w:left="708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left="0" w:firstLine="709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11.1 комплект лицензионного программного обеспечения: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1) Антивирусная защита </w:t>
      </w:r>
      <w:r>
        <w:rPr>
          <w:color w:val="auto"/>
          <w:sz w:val="24"/>
          <w:szCs w:val="24"/>
          <w:lang w:val="en-US"/>
        </w:rPr>
        <w:t>ESETNOD</w:t>
      </w:r>
      <w:r>
        <w:rPr>
          <w:color w:val="auto"/>
          <w:sz w:val="24"/>
          <w:szCs w:val="24"/>
        </w:rPr>
        <w:t>32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2) </w:t>
      </w:r>
      <w:r>
        <w:rPr>
          <w:color w:val="auto"/>
          <w:sz w:val="24"/>
          <w:szCs w:val="24"/>
          <w:lang w:val="en-US"/>
        </w:rPr>
        <w:t>Windows</w:t>
      </w:r>
      <w:r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  <w:lang w:val="en-US"/>
        </w:rPr>
        <w:t>Microsoft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  <w:lang w:val="en-US"/>
        </w:rPr>
        <w:t>Office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left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left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left="0" w:firstLine="709"/>
        <w:rPr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11.2</w:t>
      </w:r>
      <w:r>
        <w:rPr>
          <w:bCs/>
          <w:color w:val="auto"/>
          <w:sz w:val="24"/>
          <w:szCs w:val="24"/>
        </w:rPr>
        <w:t xml:space="preserve"> </w:t>
      </w:r>
      <w:r>
        <w:rPr>
          <w:b/>
          <w:color w:val="auto"/>
          <w:sz w:val="24"/>
          <w:szCs w:val="24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>1)</w:t>
        <w:tab/>
        <w:t>Базы данных Федеральной службы государственной статистики - http://www.gks.ru/wps/wcm/connect/rosstat_main/rosstat/ru/statistics/accounts/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>2)</w:t>
        <w:tab/>
        <w:t>Научная электронная библиотека - www.elibrary.ru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>3)</w:t>
        <w:tab/>
        <w:t>Национальная электронная библиотека (НЭБ) объединяет фонды публичных библиотек России федерального, регионального, муниципального уровня, библиотек научных и образовательных учреждений, а также правообладателей. Обеспечивает доступ ко всем изданным, издаваемым и хранящимся в фондах российских библиотек изданиям и научным работам, – от книжных памятников истории и культуры, до новейших авторских произведений.http://нэб.рф/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>4)</w:t>
        <w:tab/>
        <w:t>Политематическая реферативно-библиографическая и наукометрическая (библиометрическая) база данных WebofScience - https://apps.webofknowledge.com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>5)</w:t>
        <w:tab/>
        <w:t>Реферативная и справочная база данных рецензируемой литературы Scopus - https://www.scopus.com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eastAsia="en-US"/>
        </w:rPr>
        <w:t>6)</w:t>
        <w:tab/>
        <w:t xml:space="preserve">Университетская информационная система РОССИЯ (УИС Россия) - </w:t>
      </w:r>
      <w:hyperlink r:id="rId19">
        <w:r>
          <w:rPr>
            <w:color w:val="0066CC"/>
            <w:sz w:val="24"/>
            <w:szCs w:val="24"/>
            <w:u w:val="single"/>
            <w:lang w:eastAsia="en-US"/>
          </w:rPr>
          <w:t>https://uisrussia.msu.ru/</w:t>
        </w:r>
      </w:hyperlink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</w:r>
    </w:p>
    <w:p>
      <w:pPr>
        <w:pStyle w:val="ListParagraph"/>
        <w:widowControl w:val="false"/>
        <w:numPr>
          <w:ilvl w:val="1"/>
          <w:numId w:val="31"/>
        </w:numPr>
        <w:tabs>
          <w:tab w:val="clear" w:pos="708"/>
          <w:tab w:val="left" w:pos="1276" w:leader="none"/>
        </w:tabs>
        <w:spacing w:lineRule="auto" w:line="240" w:before="0" w:after="0"/>
        <w:contextualSpacing/>
        <w:jc w:val="left"/>
        <w:rPr>
          <w:b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>
        <w:rPr>
          <w:b/>
          <w:color w:val="auto"/>
          <w:sz w:val="24"/>
          <w:szCs w:val="24"/>
        </w:rPr>
        <w:t>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ind w:left="0" w:firstLine="709"/>
        <w:rPr>
          <w:b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b/>
          <w:b/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spacing w:lineRule="auto" w:line="235" w:before="0" w:after="45"/>
        <w:ind w:left="-15" w:right="-10" w:firstLine="698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ind w:left="709" w:hanging="0"/>
        <w:rPr>
          <w:b/>
          <w:b/>
          <w:bCs/>
          <w:sz w:val="24"/>
          <w:szCs w:val="24"/>
        </w:rPr>
      </w:pPr>
      <w:r>
        <w:rPr>
          <w:b/>
          <w:sz w:val="24"/>
          <w:szCs w:val="24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8"/>
          <w:tab w:val="left" w:pos="1069" w:leader="none"/>
          <w:tab w:val="left" w:pos="1985" w:leader="none"/>
        </w:tabs>
        <w:spacing w:lineRule="auto" w:line="240" w:before="0" w:after="0"/>
        <w:ind w:left="0" w:firstLine="709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8"/>
          <w:tab w:val="left" w:pos="1069" w:leader="none"/>
          <w:tab w:val="left" w:pos="1985" w:leader="none"/>
        </w:tabs>
        <w:spacing w:lineRule="auto" w:line="240" w:before="0" w:after="0"/>
        <w:ind w:left="0" w:firstLine="709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8"/>
          <w:tab w:val="left" w:pos="1069" w:leader="none"/>
        </w:tabs>
        <w:spacing w:lineRule="auto" w:line="240" w:before="0" w:after="0"/>
        <w:ind w:left="0" w:firstLine="709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160"/>
        <w:ind w:left="0" w:hanging="0"/>
        <w:jc w:val="left"/>
        <w:rPr>
          <w:b/>
          <w:b/>
          <w:bCs/>
          <w:color w:val="auto"/>
          <w:sz w:val="32"/>
          <w:szCs w:val="24"/>
          <w:highlight w:val="yellow"/>
        </w:rPr>
      </w:pPr>
      <w:r>
        <w:rPr>
          <w:b/>
          <w:bCs/>
          <w:color w:val="auto"/>
          <w:sz w:val="32"/>
          <w:szCs w:val="24"/>
          <w:highlight w:val="yellow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ind w:left="0" w:hanging="0"/>
        <w:jc w:val="center"/>
        <w:rPr>
          <w:b/>
          <w:b/>
          <w:i/>
          <w:i/>
          <w:color w:val="auto"/>
          <w:sz w:val="36"/>
          <w:szCs w:val="20"/>
        </w:rPr>
      </w:pPr>
      <w:r>
        <w:rPr>
          <w:b/>
          <w:bCs/>
          <w:color w:val="auto"/>
          <w:sz w:val="32"/>
          <w:szCs w:val="24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widowControl w:val="false"/>
        <w:spacing w:lineRule="auto" w:line="240" w:before="0" w:after="0"/>
        <w:ind w:left="0" w:hanging="0"/>
        <w:jc w:val="left"/>
        <w:rPr>
          <w:i/>
          <w:i/>
          <w:color w:val="auto"/>
          <w:szCs w:val="20"/>
        </w:rPr>
      </w:pPr>
      <w:r>
        <w:rPr>
          <w:i/>
          <w:color w:val="auto"/>
          <w:szCs w:val="20"/>
        </w:rPr>
      </w:r>
    </w:p>
    <w:p>
      <w:pPr>
        <w:pStyle w:val="Normal"/>
        <w:spacing w:lineRule="auto" w:line="235" w:before="0" w:after="45"/>
        <w:ind w:left="-15" w:right="-10" w:firstLine="698"/>
        <w:rPr>
          <w:b/>
          <w:b/>
          <w:i/>
          <w:i/>
          <w:color w:val="auto"/>
          <w:szCs w:val="20"/>
        </w:rPr>
      </w:pPr>
      <w:r>
        <w:rPr>
          <w:i/>
          <w:color w:val="auto"/>
          <w:szCs w:val="20"/>
        </w:rPr>
        <w:t>Учебная дисциплина</w:t>
      </w:r>
      <w:r>
        <w:rPr>
          <w:b/>
          <w:i/>
          <w:color w:val="auto"/>
          <w:szCs w:val="20"/>
        </w:rPr>
        <w:t xml:space="preserve">: Оценка эффективности рекламных кампаний </w:t>
      </w:r>
    </w:p>
    <w:p>
      <w:pPr>
        <w:pStyle w:val="Normal"/>
        <w:widowControl w:val="false"/>
        <w:spacing w:lineRule="auto" w:line="240" w:before="0" w:after="0"/>
        <w:ind w:left="0" w:hanging="0"/>
        <w:jc w:val="left"/>
        <w:rPr>
          <w:color w:val="auto"/>
          <w:szCs w:val="20"/>
        </w:rPr>
      </w:pPr>
      <w:r>
        <w:rPr>
          <w:color w:val="auto"/>
          <w:szCs w:val="20"/>
        </w:rPr>
        <w:t xml:space="preserve">Компетенции: </w:t>
      </w:r>
    </w:p>
    <w:p>
      <w:pPr>
        <w:pStyle w:val="Normal"/>
        <w:widowControl w:val="false"/>
        <w:spacing w:lineRule="auto" w:line="240" w:before="0" w:after="0"/>
        <w:ind w:left="0" w:hanging="0"/>
        <w:jc w:val="left"/>
        <w:rPr>
          <w:color w:val="auto"/>
          <w:szCs w:val="20"/>
        </w:rPr>
      </w:pPr>
      <w:r>
        <w:rPr>
          <w:color w:val="auto"/>
          <w:szCs w:val="20"/>
        </w:rPr>
        <w:t>ПКП-5:</w:t>
      </w:r>
      <w:r>
        <w:rPr>
          <w:szCs w:val="28"/>
        </w:rPr>
        <w:t xml:space="preserve"> </w:t>
      </w:r>
      <w:r>
        <w:rPr>
          <w:sz w:val="24"/>
          <w:szCs w:val="24"/>
        </w:rPr>
        <w:t>Способность управлять рисками коммуникационной деятельности и измерять эффекты интегрированной коммуникации</w:t>
      </w:r>
    </w:p>
    <w:p>
      <w:pPr>
        <w:pStyle w:val="Normal"/>
        <w:widowControl w:val="false"/>
        <w:spacing w:lineRule="auto" w:line="240" w:before="0" w:after="0"/>
        <w:ind w:left="0" w:hanging="0"/>
        <w:jc w:val="left"/>
        <w:rPr>
          <w:color w:val="auto"/>
          <w:szCs w:val="20"/>
        </w:rPr>
      </w:pPr>
      <w:r>
        <w:rPr>
          <w:color w:val="auto"/>
          <w:szCs w:val="20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59"/>
        <w:gridCol w:w="2976"/>
        <w:gridCol w:w="4678"/>
        <w:gridCol w:w="1133"/>
      </w:tblGrid>
      <w:tr>
        <w:trPr>
          <w:tblHeader w:val="true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Номер задан 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Содержание задания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Правильный ответ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Компетенция</w:t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Как называется подготовка клиентов к покупке путем прохождения их через определенные этапы?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 xml:space="preserve">Стратегия рекламы. </w:t>
            </w:r>
            <w:r>
              <w:rPr>
                <w:color w:val="333333"/>
                <w:sz w:val="24"/>
                <w:szCs w:val="24"/>
                <w:shd w:fill="FFFFFF" w:val="clear"/>
              </w:rPr>
              <w:t>К</w:t>
            </w:r>
            <w:r>
              <w:rPr>
                <w:bCs/>
                <w:color w:val="333333"/>
                <w:sz w:val="24"/>
                <w:szCs w:val="24"/>
                <w:shd w:fill="FFFFFF" w:val="clear"/>
              </w:rPr>
              <w:t>омплекс методов и средств рекламы, которые предполагается использовать для достижения рекламных целей</w:t>
            </w:r>
            <w:r>
              <w:rPr>
                <w:color w:val="333333"/>
                <w:sz w:val="24"/>
                <w:szCs w:val="24"/>
                <w:shd w:fill="FFFFFF" w:val="clear"/>
              </w:rPr>
              <w:t>. В случае неправильного выбора рекламной стратегии, компания может впустую потратить средств (как собственные, так и заемные), не получив при этом нужного эффекта и не достигнув своих целей, и наоборот, в случае правильного выбора компания может достичь хороших финансовых результатов и отдачи от рекламной компании</w:t>
            </w:r>
            <w:r>
              <w:rPr>
                <w:rFonts w:cs="Arial" w:ascii="Arial" w:hAnsi="Arial"/>
                <w:color w:val="333333"/>
                <w:shd w:fill="FFFFFF" w:val="clear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К какому виду рекламы относится информирование покупателя об особенностях и достоинствах услуг, пробуждает интерес к ним?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 xml:space="preserve">Престижная реклама. </w:t>
            </w:r>
            <w:r>
              <w:rPr>
                <w:color w:val="333333"/>
                <w:sz w:val="24"/>
                <w:szCs w:val="24"/>
                <w:shd w:fill="FFFFFF" w:val="clear"/>
              </w:rPr>
              <w:t>Престижная реклама представляет собой </w:t>
            </w:r>
            <w:r>
              <w:rPr>
                <w:bCs/>
                <w:color w:val="333333"/>
                <w:sz w:val="24"/>
                <w:szCs w:val="24"/>
                <w:shd w:fill="FFFFFF" w:val="clear"/>
              </w:rPr>
              <w:t>рекламу достоинств организации, выгодно отличающих её от конкурентов</w:t>
            </w:r>
            <w:r>
              <w:rPr>
                <w:color w:val="333333"/>
                <w:sz w:val="24"/>
                <w:szCs w:val="24"/>
                <w:shd w:fill="FFFFFF" w:val="clear"/>
              </w:rPr>
              <w:t>. Она содержит информацию, в которой выражается забота об окружающей среде, благополучии населения, выпуске новых, более высококачественных товаров.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Что стремится сделать рекламодатель, с помощью рекламных средств?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Оказать воздействие на потенциальных потребителей объекта рекламирования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Что необходимо сделать, прежде чем выбрать тот или иной вид рекламы?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Определить цель рекламного мероприятия.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Главное преимущество прямой почтовой рекламы…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Позволяет донести информацию до клиентов в любом географическом поясе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Что такое транзитная реклама?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Форма городской рекламы, которая использует транспортные средства, чтобы донести до людей обращение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Что является основными носителями рекламы в Интернете?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Электронная почта, баннеры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Самое влиятельное средство рекламы …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 xml:space="preserve">Телевизионная реклама </w:t>
            </w:r>
            <w:r>
              <w:rPr>
                <w:bCs/>
                <w:color w:val="333333"/>
                <w:sz w:val="22"/>
                <w:shd w:fill="FFFFFF" w:val="clear"/>
              </w:rPr>
              <w:t>Рекламные сообщения, которые транслируются в эфире телеканалов</w:t>
            </w:r>
            <w:r>
              <w:rPr>
                <w:color w:val="333333"/>
                <w:sz w:val="22"/>
                <w:shd w:fill="FFFFFF" w:val="clear"/>
              </w:rPr>
              <w:t>. Такой способ передачи обеспечивает широкий охват и достаточно большую аудиторию. Основная особенность телевизионной рекламы — многообразие способов воздействия на человека. В рекламе на ТВ используют изображения, текст, музыку, голос.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В чем важно убедиться, для того чтобы охарактеризовать некое сообщение как рекламное?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Верно, если неличный характер представления и продвижения идей, товаров или услуг сочетается с оплачиваемостью сообщения заинтересованным в продаже определенным лицом.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  <w:tr>
        <w:trPr/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b/>
                <w:b/>
                <w:color w:val="auto"/>
                <w:sz w:val="22"/>
              </w:rPr>
            </w:pPr>
            <w:r>
              <w:rPr>
                <w:rFonts w:eastAsia="Calibri"/>
                <w:b/>
                <w:color w:val="auto"/>
                <w:sz w:val="22"/>
              </w:rPr>
              <w:t>Напишите, что не относится к типовым задачам бизнеса, не решаемым с помощью рекламы…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Нераспространение информации о фирме и ее товарах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  <w:t>ПКП-5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ind w:left="0" w:hanging="0"/>
              <w:rPr>
                <w:rFonts w:eastAsia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 w:val="22"/>
              </w:rPr>
            </w:r>
          </w:p>
        </w:tc>
      </w:tr>
    </w:tbl>
    <w:p>
      <w:pPr>
        <w:pStyle w:val="Normal"/>
        <w:tabs>
          <w:tab w:val="clear" w:pos="708"/>
          <w:tab w:val="left" w:pos="2295" w:leader="none"/>
        </w:tabs>
        <w:spacing w:lineRule="auto" w:line="240" w:before="0" w:after="0"/>
        <w:ind w:left="0" w:firstLine="709"/>
        <w:rPr>
          <w:b/>
          <w:b/>
          <w:color w:val="auto"/>
          <w:sz w:val="24"/>
          <w:szCs w:val="24"/>
          <w:lang w:eastAsia="en-US"/>
        </w:rPr>
      </w:pPr>
      <w:r>
        <w:rPr>
          <w:b/>
          <w:color w:val="auto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2295" w:leader="none"/>
        </w:tabs>
        <w:spacing w:lineRule="auto" w:line="240" w:before="0" w:after="0"/>
        <w:ind w:left="0" w:firstLine="709"/>
        <w:rPr>
          <w:b/>
          <w:b/>
          <w:color w:val="auto"/>
          <w:sz w:val="24"/>
          <w:szCs w:val="24"/>
          <w:lang w:eastAsia="en-US"/>
        </w:rPr>
      </w:pPr>
      <w:r>
        <w:rPr>
          <w:b/>
          <w:color w:val="auto"/>
          <w:sz w:val="24"/>
          <w:szCs w:val="24"/>
          <w:lang w:eastAsia="en-US"/>
        </w:rPr>
        <w:t>Критерии (шкалы) оценивания компетенции и уровни ее формирования:</w:t>
      </w:r>
    </w:p>
    <w:p>
      <w:pPr>
        <w:pStyle w:val="Normal"/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>- оценка</w:t>
      </w:r>
      <w:r>
        <w:rPr>
          <w:b/>
          <w:color w:val="auto"/>
          <w:sz w:val="24"/>
          <w:szCs w:val="24"/>
          <w:lang w:eastAsia="en-US"/>
        </w:rPr>
        <w:t xml:space="preserve"> «отлично»</w:t>
      </w:r>
      <w:r>
        <w:rPr>
          <w:color w:val="auto"/>
          <w:sz w:val="24"/>
          <w:szCs w:val="24"/>
          <w:lang w:eastAsia="en-US"/>
        </w:rPr>
        <w:t xml:space="preserve"> (высокий уровень) выставляется, если обучающийся </w:t>
      </w:r>
      <w:r>
        <w:rPr>
          <w:b/>
          <w:color w:val="auto"/>
          <w:sz w:val="24"/>
          <w:szCs w:val="24"/>
          <w:lang w:eastAsia="en-US"/>
        </w:rPr>
        <w:t xml:space="preserve">знает </w:t>
      </w:r>
      <w:r>
        <w:rPr>
          <w:color w:val="auto"/>
          <w:sz w:val="24"/>
          <w:szCs w:val="24"/>
          <w:lang w:eastAsia="en-US"/>
        </w:rPr>
        <w:t>(в полной мере): основы теоретических представлений о сущности, особенностях, специфике социологии массовых коммуникаций. Умеет (самостоятельно): преодолевать коммуникативные барьеры общения. Владеет (совершенно свободно): навыками эффективных вербальных и невербальных коммуникаций в профессиональной деятельности. Умеет применять методы изучения и анализа коммуникативных процессов в целях эффективного медиапланирования; выступать в качестве заказчика социологических исследований.</w:t>
      </w:r>
    </w:p>
    <w:p>
      <w:pPr>
        <w:pStyle w:val="Normal"/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>- оценка</w:t>
      </w:r>
      <w:r>
        <w:rPr>
          <w:b/>
          <w:color w:val="auto"/>
          <w:sz w:val="24"/>
          <w:szCs w:val="24"/>
          <w:lang w:eastAsia="en-US"/>
        </w:rPr>
        <w:t xml:space="preserve"> «хорошо»</w:t>
      </w:r>
      <w:r>
        <w:rPr>
          <w:color w:val="auto"/>
          <w:sz w:val="24"/>
          <w:szCs w:val="24"/>
          <w:lang w:eastAsia="en-US"/>
        </w:rPr>
        <w:t xml:space="preserve"> (продвинутый уровень) выставляется, если обучающийся </w:t>
      </w:r>
      <w:r>
        <w:rPr>
          <w:b/>
          <w:color w:val="auto"/>
          <w:sz w:val="24"/>
          <w:szCs w:val="24"/>
          <w:lang w:eastAsia="en-US"/>
        </w:rPr>
        <w:t>знает:</w:t>
      </w:r>
      <w:r>
        <w:rPr>
          <w:color w:val="auto"/>
          <w:sz w:val="24"/>
          <w:szCs w:val="24"/>
          <w:lang w:eastAsia="en-US"/>
        </w:rPr>
        <w:t xml:space="preserve"> области теоретических представлений о сущности, особенностях, специфике социологии массовых коммуникаций. Умеет (самостоятельно, при незначительной помощи педагога): преодолевать коммуникативные барьеры общения. Владеет (применяя отдельные необходимые навыки): навыками эффективных вербальных и невербальных коммуникаций в профессиональной деятельности.</w:t>
      </w:r>
    </w:p>
    <w:p>
      <w:pPr>
        <w:pStyle w:val="Normal"/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 xml:space="preserve">- оценка </w:t>
      </w:r>
      <w:r>
        <w:rPr>
          <w:b/>
          <w:color w:val="auto"/>
          <w:sz w:val="24"/>
          <w:szCs w:val="24"/>
          <w:lang w:eastAsia="en-US"/>
        </w:rPr>
        <w:t xml:space="preserve">«удовлетворительно» </w:t>
      </w:r>
      <w:r>
        <w:rPr>
          <w:color w:val="auto"/>
          <w:sz w:val="24"/>
          <w:szCs w:val="24"/>
          <w:lang w:eastAsia="en-US"/>
        </w:rPr>
        <w:t>(пороговый уровень) выставляется, если обучающийся знает (на уровне минимальных требований): основы теоретических представлений о сущности, особенностях, специфике социологии массовых коммуникаций. Умеет (испытывая затруднения при самостоятельном воспроизведении): преодолевать коммуникативные барьеры общения. Владеет (совершая ошибки и допуская незначительное несоблюдение основных положений дисциплины): навыками эффективных вербальных и невербальных коммуникаций в профессиональной деятельности.</w:t>
      </w:r>
    </w:p>
    <w:p>
      <w:pPr>
        <w:pStyle w:val="Normal"/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0" w:firstLine="709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  <w:t>- оценка</w:t>
      </w:r>
      <w:r>
        <w:rPr>
          <w:b/>
          <w:color w:val="auto"/>
          <w:sz w:val="24"/>
          <w:szCs w:val="24"/>
          <w:lang w:eastAsia="en-US"/>
        </w:rPr>
        <w:t xml:space="preserve"> «неудовлетворительно»</w:t>
      </w:r>
      <w:r>
        <w:rPr>
          <w:color w:val="auto"/>
          <w:sz w:val="24"/>
          <w:szCs w:val="24"/>
          <w:lang w:eastAsia="en-US"/>
        </w:rPr>
        <w:t xml:space="preserve"> (ниже порогового) выставляется, если обучающийся не знает: основы теоретических представлений о сущности, особенностях, специфике социологии массовых коммуникаций. Умеет (испытывая затруднения при самостоятельном воспроизведении). Не умеет: преодолевать коммуникативные барьеры общения. Владеет (совершая ошибки и допуская незначительное несоблюдение основных положений дисциплины):навыками эффективных вербальных и невербальных коммуникаций в профессиональной деятельности.</w:t>
      </w:r>
    </w:p>
    <w:p>
      <w:pPr>
        <w:pStyle w:val="Normal"/>
        <w:spacing w:lineRule="auto" w:line="259" w:before="0" w:after="160"/>
        <w:ind w:left="0" w:hanging="0"/>
        <w:jc w:val="left"/>
        <w:rPr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  <w:lang w:eastAsia="en-US"/>
        </w:rPr>
      </w:r>
    </w:p>
    <w:p>
      <w:pPr>
        <w:pStyle w:val="Normal"/>
        <w:spacing w:lineRule="auto" w:line="235" w:before="0" w:after="45"/>
        <w:ind w:left="-15" w:right="-10" w:firstLine="698"/>
        <w:rPr>
          <w:sz w:val="24"/>
          <w:szCs w:val="24"/>
        </w:rPr>
      </w:pPr>
      <w:r>
        <w:rPr/>
      </w:r>
    </w:p>
    <w:sectPr>
      <w:headerReference w:type="even" r:id="rId20"/>
      <w:headerReference w:type="default" r:id="rId21"/>
      <w:headerReference w:type="first" r:id="rId22"/>
      <w:footerReference w:type="even" r:id="rId23"/>
      <w:footerReference w:type="default" r:id="rId24"/>
      <w:footerReference w:type="first" r:id="rId25"/>
      <w:type w:val="nextPage"/>
      <w:pgSz w:w="11906" w:h="16838"/>
      <w:pgMar w:left="1276" w:right="737" w:gutter="0" w:header="720" w:top="851" w:footer="720" w:bottom="851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ind w:left="0" w:hanging="0"/>
      <w:jc w:val="center"/>
      <w:rPr/>
    </w:pPr>
    <w:r>
      <w:rPr>
        <w:sz w:val="24"/>
      </w:rPr>
      <w:fldChar w:fldCharType="begin"/>
    </w:r>
    <w:r>
      <w:rPr>
        <w:sz w:val="24"/>
      </w:rPr>
      <w:instrText> PAGE </w:instrText>
    </w:r>
    <w:r>
      <w:rPr>
        <w:sz w:val="24"/>
      </w:rP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ind w:left="0" w:hanging="0"/>
      <w:jc w:val="center"/>
      <w:rPr/>
    </w:pPr>
    <w:r>
      <w:rPr>
        <w:sz w:val="24"/>
      </w:rPr>
      <w:fldChar w:fldCharType="begin"/>
    </w:r>
    <w:r>
      <w:rPr>
        <w:sz w:val="24"/>
      </w:rPr>
      <w:instrText> PAGE </w:instrText>
    </w:r>
    <w:r>
      <w:rPr>
        <w:sz w:val="24"/>
      </w:rPr>
      <w:fldChar w:fldCharType="separate"/>
    </w:r>
    <w:r>
      <w:rPr>
        <w:sz w:val="24"/>
      </w:rPr>
      <w:t>18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76" w:before="0" w:after="0"/>
      <w:ind w:left="0" w:hanging="0"/>
      <w:jc w:val="lef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bidi w:val="0"/>
      <w:spacing w:lineRule="auto" w:line="343" w:before="0" w:after="207"/>
      <w:ind w:left="-15" w:firstLine="698"/>
      <w:jc w:val="both"/>
      <w:rPr/>
    </w:pPr>
    <w:r>
      <w:rPr/>
      <mc:AlternateContent>
        <mc:Choice Requires="wpg">
          <w:drawing>
            <wp:anchor behindDoc="1" distT="0" distB="0" distL="0" distR="0" simplePos="0" locked="0" layoutInCell="0" allowOverlap="1" relativeHeight="2" wp14:anchorId="16B35B7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675" cy="10691495"/>
              <wp:effectExtent l="0" t="0" r="0" b="0"/>
              <wp:wrapNone/>
              <wp:docPr id="1" name="Group 43246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8920" cy="10690920"/>
                        <a:chOff x="0" y="0"/>
                        <a:chExt cx="7558920" cy="10690920"/>
                      </a:xfrm>
                    </wpg:grpSpPr>
                    <wps:wsp>
                      <wps:cNvSpPr/>
                      <wps:spPr>
                        <a:xfrm>
                          <a:off x="0" y="0"/>
                          <a:ext cx="7558920" cy="106909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7559040" h="10690859">
                              <a:moveTo>
                                <a:pt x="0" y="0"/>
                              </a:moveTo>
                              <a:lnTo>
                                <a:pt x="7559040" y="0"/>
                              </a:lnTo>
                              <a:lnTo>
                                <a:pt x="7559040" y="10690859"/>
                              </a:lnTo>
                              <a:lnTo>
                                <a:pt x="0" y="1069085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oup 43246" style="position:absolute;margin-left:0pt;margin-top:0pt;width:595.2pt;height:841.8pt" coordorigin="0,0" coordsize="11904,16836"/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bidi w:val="0"/>
      <w:spacing w:lineRule="auto" w:line="343" w:before="0" w:after="207"/>
      <w:ind w:left="-15" w:firstLine="698"/>
      <w:jc w:val="both"/>
      <w:rPr/>
    </w:pPr>
    <w:r>
      <w:rPr/>
      <mc:AlternateContent>
        <mc:Choice Requires="wpg">
          <w:drawing>
            <wp:anchor behindDoc="1" distT="0" distB="0" distL="0" distR="0" simplePos="0" locked="0" layoutInCell="0" allowOverlap="1" relativeHeight="21" wp14:anchorId="1597DDD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675" cy="10691495"/>
              <wp:effectExtent l="0" t="0" r="0" b="0"/>
              <wp:wrapNone/>
              <wp:docPr id="2" name="Group 43236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8920" cy="10690920"/>
                        <a:chOff x="0" y="0"/>
                        <a:chExt cx="7558920" cy="10690920"/>
                      </a:xfrm>
                    </wpg:grpSpPr>
                    <wps:wsp>
                      <wps:cNvSpPr/>
                      <wps:spPr>
                        <a:xfrm>
                          <a:off x="0" y="0"/>
                          <a:ext cx="7558920" cy="106909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7559040" h="10690859">
                              <a:moveTo>
                                <a:pt x="0" y="0"/>
                              </a:moveTo>
                              <a:lnTo>
                                <a:pt x="7559040" y="0"/>
                              </a:lnTo>
                              <a:lnTo>
                                <a:pt x="7559040" y="10690859"/>
                              </a:lnTo>
                              <a:lnTo>
                                <a:pt x="0" y="1069085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oup 43236" style="position:absolute;margin-left:0pt;margin-top:0pt;width:595.2pt;height:841.8pt" coordorigin="0,0" coordsize="11904,16836"/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bidi w:val="0"/>
      <w:spacing w:lineRule="auto" w:line="343" w:before="0" w:after="207"/>
      <w:ind w:left="-15" w:firstLine="698"/>
      <w:jc w:val="both"/>
      <w:rPr/>
    </w:pPr>
    <w:r>
      <w:rPr/>
      <mc:AlternateContent>
        <mc:Choice Requires="wpg">
          <w:drawing>
            <wp:anchor behindDoc="1" distT="0" distB="0" distL="0" distR="0" simplePos="0" locked="0" layoutInCell="0" allowOverlap="1" relativeHeight="22" wp14:anchorId="2760B82F">
              <wp:simplePos x="0" y="0"/>
              <wp:positionH relativeFrom="page">
                <wp:posOffset>-289560</wp:posOffset>
              </wp:positionH>
              <wp:positionV relativeFrom="page">
                <wp:posOffset>76200</wp:posOffset>
              </wp:positionV>
              <wp:extent cx="7559675" cy="10691495"/>
              <wp:effectExtent l="0" t="0" r="3810" b="15875"/>
              <wp:wrapNone/>
              <wp:docPr id="3" name="Group 4323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8920" cy="10690920"/>
                        <a:chOff x="-289440" y="76320"/>
                        <a:chExt cx="7558920" cy="10690920"/>
                      </a:xfrm>
                    </wpg:grpSpPr>
                    <wps:wsp>
                      <wps:cNvSpPr/>
                      <wps:spPr>
                        <a:xfrm>
                          <a:off x="0" y="0"/>
                          <a:ext cx="7558920" cy="106909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7559040" h="10690859">
                              <a:moveTo>
                                <a:pt x="0" y="0"/>
                              </a:moveTo>
                              <a:lnTo>
                                <a:pt x="7559040" y="0"/>
                              </a:lnTo>
                              <a:lnTo>
                                <a:pt x="7559040" y="10690859"/>
                              </a:lnTo>
                              <a:lnTo>
                                <a:pt x="0" y="1069085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oup 43232" style="position:absolute;margin-left:-22.8pt;margin-top:6pt;width:595.2pt;height:841.8pt" coordorigin="-456,120" coordsize="11904,16836"/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0"/>
        </w:tabs>
        <w:ind w:left="7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27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99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71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43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15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87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599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4">
    <w:lvl w:ilvl="0">
      <w:start w:val="6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8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1">
    <w:lvl w:ilvl="0">
      <w:start w:val="10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3">
    <w:lvl w:ilvl="0">
      <w:start w:val="5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6">
    <w:lvl w:ilvl="0">
      <w:start w:val="2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7">
    <w:lvl w:ilvl="0">
      <w:start w:val="6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20">
    <w:lvl w:ilvl="0">
      <w:start w:val="4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rFonts w:ascii="Times New Roman" w:hAnsi="Times New Roman" w:eastAsia="Times New Roman" w:cs="Times New Roman"/>
        <w:color w:val="000000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effect w:val="none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7">
    <w:lvl w:ilvl="0">
      <w:start w:val="4"/>
      <w:numFmt w:val="decimal"/>
      <w:lvlText w:val="%1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2" w:hanging="180"/>
      </w:pPr>
    </w:lvl>
  </w:abstractNum>
  <w:abstractNum w:abstractNumId="28">
    <w:lvl w:ilvl="0">
      <w:start w:val="7"/>
      <w:numFmt w:val="decimal"/>
      <w:lvlText w:val="%1"/>
      <w:lvlJc w:val="left"/>
      <w:pPr>
        <w:tabs>
          <w:tab w:val="num" w:pos="0"/>
        </w:tabs>
        <w:ind w:left="822" w:hanging="504"/>
      </w:pPr>
      <w:rPr>
        <w:lang w:val="ru-RU" w:eastAsia="en-US" w:bidi="ar-SA"/>
      </w:rPr>
    </w:lvl>
    <w:lvl w:ilvl="1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</w:lvl>
    <w:lvl w:ilvl="2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</w:lvl>
    <w:lvl w:ilvl="3">
      <w:start w:val="0"/>
      <w:numFmt w:val="bullet"/>
      <w:lvlText w:val=""/>
      <w:lvlJc w:val="left"/>
      <w:pPr>
        <w:tabs>
          <w:tab w:val="num" w:pos="0"/>
        </w:tabs>
        <w:ind w:left="4421" w:hanging="6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22" w:hanging="6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22" w:hanging="6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123" w:hanging="6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024" w:hanging="6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924" w:hanging="633"/>
      </w:pPr>
      <w:rPr>
        <w:rFonts w:ascii="Symbol" w:hAnsi="Symbol" w:cs="Symbol" w:hint="default"/>
        <w:lang w:val="ru-RU" w:eastAsia="en-US" w:bidi="ar-SA"/>
      </w:rPr>
    </w:lvl>
  </w:abstractNum>
  <w:abstractNum w:abstractNumId="29"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0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1">
    <w:lvl w:ilvl="0">
      <w:start w:val="11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343" w:before="0" w:after="207"/>
      <w:ind w:left="-15" w:firstLine="698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1">
    <w:name w:val="Heading 1"/>
    <w:next w:val="Normal"/>
    <w:link w:val="10"/>
    <w:uiPriority w:val="9"/>
    <w:unhideWhenUsed/>
    <w:qFormat/>
    <w:pPr>
      <w:keepNext w:val="true"/>
      <w:keepLines/>
      <w:widowControl/>
      <w:numPr>
        <w:ilvl w:val="0"/>
        <w:numId w:val="1"/>
      </w:numPr>
      <w:bidi w:val="0"/>
      <w:spacing w:lineRule="auto" w:line="235" w:before="0" w:after="39"/>
      <w:ind w:left="-5" w:right="-15" w:hanging="10"/>
      <w:jc w:val="left"/>
      <w:outlineLvl w:val="0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1"/>
    <w:qFormat/>
    <w:rPr>
      <w:rFonts w:ascii="Times New Roman" w:hAnsi="Times New Roman" w:eastAsia="Times New Roman" w:cs="Times New Roman"/>
      <w:b/>
      <w:color w:val="000000"/>
      <w:sz w:val="24"/>
    </w:rPr>
  </w:style>
  <w:style w:type="character" w:styleId="3" w:customStyle="1">
    <w:name w:val="Подпись к таблице (3)_"/>
    <w:link w:val="31"/>
    <w:qFormat/>
    <w:locked/>
    <w:rsid w:val="00092ba0"/>
    <w:rPr>
      <w:b/>
      <w:bCs/>
      <w:sz w:val="28"/>
      <w:szCs w:val="28"/>
      <w:shd w:fill="FFFFFF" w:val="clear"/>
    </w:rPr>
  </w:style>
  <w:style w:type="character" w:styleId="2" w:customStyle="1">
    <w:name w:val="Основной текст (2)"/>
    <w:qFormat/>
    <w:rsid w:val="00092ba0"/>
    <w:rPr>
      <w:color w:val="000000"/>
      <w:spacing w:val="0"/>
      <w:w w:val="100"/>
      <w:sz w:val="28"/>
      <w:szCs w:val="28"/>
      <w:lang w:val="ru-RU" w:eastAsia="ru-RU" w:bidi="ar-SA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1771b1"/>
    <w:rPr>
      <w:rFonts w:ascii="Tahoma" w:hAnsi="Tahoma" w:eastAsia="Times New Roman" w:cs="Tahoma"/>
      <w:color w:val="000000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semiHidden/>
    <w:qFormat/>
    <w:rsid w:val="001d53c1"/>
    <w:rPr>
      <w:rFonts w:ascii="Times New Roman" w:hAnsi="Times New Roman" w:eastAsia="Times New Roman" w:cs="Times New Roman"/>
      <w:sz w:val="28"/>
      <w:szCs w:val="20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link w:val="a8"/>
    <w:semiHidden/>
    <w:unhideWhenUsed/>
    <w:qFormat/>
    <w:rsid w:val="001d53c1"/>
    <w:pPr>
      <w:spacing w:lineRule="auto" w:line="264" w:before="0" w:after="0"/>
      <w:ind w:left="0" w:hanging="0"/>
    </w:pPr>
    <w:rPr>
      <w:color w:val="auto"/>
      <w:szCs w:val="20"/>
    </w:rPr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f06111"/>
    <w:pPr>
      <w:spacing w:before="0" w:after="207"/>
      <w:ind w:left="720" w:firstLine="698"/>
      <w:contextualSpacing/>
    </w:pPr>
    <w:rPr/>
  </w:style>
  <w:style w:type="paragraph" w:styleId="Default" w:customStyle="1">
    <w:name w:val="Default"/>
    <w:qFormat/>
    <w:rsid w:val="00c61305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"/>
      <w:color w:val="000000"/>
      <w:kern w:val="0"/>
      <w:sz w:val="24"/>
      <w:szCs w:val="24"/>
      <w:lang w:val="ru-RU" w:eastAsia="ru-RU" w:bidi="ar-SA"/>
    </w:rPr>
  </w:style>
  <w:style w:type="paragraph" w:styleId="31" w:customStyle="1">
    <w:name w:val="Подпись к таблице (3)1"/>
    <w:basedOn w:val="Normal"/>
    <w:link w:val="3"/>
    <w:qFormat/>
    <w:rsid w:val="00092ba0"/>
    <w:pPr>
      <w:widowControl w:val="false"/>
      <w:shd w:val="clear" w:color="auto" w:fill="FFFFFF"/>
      <w:spacing w:lineRule="atLeast" w:line="240" w:before="0" w:after="0"/>
      <w:ind w:left="0" w:hanging="0"/>
      <w:jc w:val="left"/>
    </w:pPr>
    <w:rPr>
      <w:rFonts w:ascii="Calibri" w:hAnsi="Calibri" w:eastAsia="" w:cs="" w:asciiTheme="minorHAnsi" w:cstheme="minorBidi" w:eastAsiaTheme="minorEastAsia" w:hAnsiTheme="minorHAnsi"/>
      <w:b/>
      <w:bCs/>
      <w:color w:val="auto"/>
      <w:szCs w:val="28"/>
    </w:rPr>
  </w:style>
  <w:style w:type="paragraph" w:styleId="Style41" w:customStyle="1">
    <w:name w:val="Style4"/>
    <w:basedOn w:val="Normal"/>
    <w:uiPriority w:val="99"/>
    <w:qFormat/>
    <w:rsid w:val="00b33e99"/>
    <w:pPr>
      <w:widowControl w:val="false"/>
      <w:spacing w:lineRule="auto" w:line="240" w:before="0" w:after="0"/>
      <w:ind w:left="0" w:hanging="0"/>
    </w:pPr>
    <w:rPr>
      <w:color w:val="auto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49066b"/>
    <w:pPr>
      <w:spacing w:lineRule="auto" w:line="240" w:beforeAutospacing="1" w:afterAutospacing="1"/>
      <w:ind w:left="0" w:hanging="0"/>
      <w:jc w:val="left"/>
    </w:pPr>
    <w:rPr>
      <w:color w:val="auto"/>
      <w:sz w:val="24"/>
      <w:szCs w:val="24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771b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Style21"/>
    <w:pPr/>
    <w:rPr/>
  </w:style>
  <w:style w:type="paragraph" w:styleId="Style23">
    <w:name w:val="Footer"/>
    <w:basedOn w:val="Style21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34940F49D0B0DA2E2A173C36F73CBD0F196331A108813BBAC6862914AC9E9C1C43970F67FBCB28FEo9s6P" TargetMode="External"/><Relationship Id="rId3" Type="http://schemas.openxmlformats.org/officeDocument/2006/relationships/hyperlink" Target="consultantplus://offline/ref=34940F49D0B0DA2E2A173C36F73CBD0F196331A108813BBAC6862914AC9E9C1C43970F67FBCB28FEo9s6P" TargetMode="External"/><Relationship Id="rId4" Type="http://schemas.openxmlformats.org/officeDocument/2006/relationships/hyperlink" Target="consultantplus://offline/ref=34940F49D0B0DA2E2A173C36F73CBD0F19623EA70E843BBAC6862914AC9E9C1C43970F67FBCB28FFo9sCP" TargetMode="External"/><Relationship Id="rId5" Type="http://schemas.openxmlformats.org/officeDocument/2006/relationships/hyperlink" Target="consultantplus://offline/ref=34940F49D0B0DA2E2A173C36F73CBD0F19623EA70E843BBAC6862914AC9E9C1C43970F67FBCB28FFo9sCP" TargetMode="External"/><Relationship Id="rId6" Type="http://schemas.openxmlformats.org/officeDocument/2006/relationships/hyperlink" Target="http://www.znanium.com/" TargetMode="External"/><Relationship Id="rId7" Type="http://schemas.openxmlformats.org/officeDocument/2006/relationships/hyperlink" Target="http://www.economy.gov.ru/" TargetMode="External"/><Relationship Id="rId8" Type="http://schemas.openxmlformats.org/officeDocument/2006/relationships/hyperlink" Target="http://www.raexpert.ru/" TargetMode="External"/><Relationship Id="rId9" Type="http://schemas.openxmlformats.org/officeDocument/2006/relationships/hyperlink" Target="http://elib.fa.ru/" TargetMode="External"/><Relationship Id="rId10" Type="http://schemas.openxmlformats.org/officeDocument/2006/relationships/hyperlink" Target="http://elib.fa.ru/" TargetMode="External"/><Relationship Id="rId11" Type="http://schemas.openxmlformats.org/officeDocument/2006/relationships/hyperlink" Target="http://www.book.ru/" TargetMode="External"/><Relationship Id="rId12" Type="http://schemas.openxmlformats.org/officeDocument/2006/relationships/hyperlink" Target="http://www.book.ru/" TargetMode="External"/><Relationship Id="rId13" Type="http://schemas.openxmlformats.org/officeDocument/2006/relationships/hyperlink" Target="http://www.book.ru/" TargetMode="External"/><Relationship Id="rId14" Type="http://schemas.openxmlformats.org/officeDocument/2006/relationships/hyperlink" Target="https://urait.ru/" TargetMode="External"/><Relationship Id="rId15" Type="http://schemas.openxmlformats.org/officeDocument/2006/relationships/hyperlink" Target="https://urait.ru/" TargetMode="External"/><Relationship Id="rId16" Type="http://schemas.openxmlformats.org/officeDocument/2006/relationships/hyperlink" Target="http://lib.alpinadigital.ru/" TargetMode="External"/><Relationship Id="rId17" Type="http://schemas.openxmlformats.org/officeDocument/2006/relationships/hyperlink" Target="http://lib.alpinadigital.ru/" TargetMode="External"/><Relationship Id="rId18" Type="http://schemas.openxmlformats.org/officeDocument/2006/relationships/hyperlink" Target="http://lib.alpinadigital.ru/" TargetMode="External"/><Relationship Id="rId19" Type="http://schemas.openxmlformats.org/officeDocument/2006/relationships/hyperlink" Target="https://uisrussia.msu.ru/" TargetMode="External"/><Relationship Id="rId20" Type="http://schemas.openxmlformats.org/officeDocument/2006/relationships/header" Target="header1.xml"/><Relationship Id="rId21" Type="http://schemas.openxmlformats.org/officeDocument/2006/relationships/header" Target="header2.xml"/><Relationship Id="rId22" Type="http://schemas.openxmlformats.org/officeDocument/2006/relationships/header" Target="header3.xml"/><Relationship Id="rId23" Type="http://schemas.openxmlformats.org/officeDocument/2006/relationships/footer" Target="footer1.xml"/><Relationship Id="rId24" Type="http://schemas.openxmlformats.org/officeDocument/2006/relationships/footer" Target="footer2.xml"/><Relationship Id="rId25" Type="http://schemas.openxmlformats.org/officeDocument/2006/relationships/footer" Target="footer3.xml"/><Relationship Id="rId26" Type="http://schemas.openxmlformats.org/officeDocument/2006/relationships/numbering" Target="numbering.xml"/><Relationship Id="rId27" Type="http://schemas.openxmlformats.org/officeDocument/2006/relationships/fontTable" Target="fontTable.xml"/><Relationship Id="rId28" Type="http://schemas.openxmlformats.org/officeDocument/2006/relationships/settings" Target="settings.xml"/><Relationship Id="rId29" Type="http://schemas.openxmlformats.org/officeDocument/2006/relationships/theme" Target="theme/theme1.xml"/><Relationship Id="rId3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01033-6716-4A6E-BC59-0740A7CA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Application>LibreOffice/7.2.7.2$Linux_X86_64 LibreOffice_project/20$Build-2</Application>
  <AppVersion>15.0000</AppVersion>
  <Pages>20</Pages>
  <Words>4639</Words>
  <Characters>38719</Characters>
  <CharactersWithSpaces>43248</CharactersWithSpaces>
  <Paragraphs>523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2022-12-27T12:22:00Z</dcterms:created>
  <dc:creator>Александр</dc:creator>
  <dc:description/>
  <dc:language>ru-RU</dc:language>
  <cp:lastModifiedBy/>
  <cp:lastPrinted>2023-09-11T13:25:00Z</cp:lastPrinted>
  <dcterms:modified xsi:type="dcterms:W3CDTF">2024-10-03T14:46:58Z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